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2B1" w:rsidRDefault="000832B1" w:rsidP="00A10134">
      <w:pPr>
        <w:spacing w:before="120" w:after="120" w:line="288" w:lineRule="auto"/>
        <w:jc w:val="center"/>
        <w:rPr>
          <w:rFonts w:ascii="Arial" w:hAnsi="Arial" w:cs="Arial"/>
          <w:b/>
          <w:sz w:val="22"/>
          <w:szCs w:val="22"/>
        </w:rPr>
      </w:pPr>
      <w:r>
        <w:rPr>
          <w:noProof/>
        </w:rPr>
        <w:drawing>
          <wp:anchor distT="0" distB="0" distL="114300" distR="114300" simplePos="0" relativeHeight="251660288" behindDoc="0" locked="0" layoutInCell="1" allowOverlap="1" wp14:anchorId="2AE083AA" wp14:editId="0227E9A0">
            <wp:simplePos x="0" y="0"/>
            <wp:positionH relativeFrom="page">
              <wp:align>right</wp:align>
            </wp:positionH>
            <wp:positionV relativeFrom="page">
              <wp:align>top</wp:align>
            </wp:positionV>
            <wp:extent cx="7537450" cy="1711325"/>
            <wp:effectExtent l="0" t="0" r="6350" b="3175"/>
            <wp:wrapNone/>
            <wp:docPr id="1" name="Picture 1" descr="SISA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A Letterhead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7450" cy="1711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666023CD" wp14:editId="114A5C1F">
                <wp:simplePos x="0" y="0"/>
                <wp:positionH relativeFrom="column">
                  <wp:posOffset>-406400</wp:posOffset>
                </wp:positionH>
                <wp:positionV relativeFrom="paragraph">
                  <wp:posOffset>364490</wp:posOffset>
                </wp:positionV>
                <wp:extent cx="6705600" cy="0"/>
                <wp:effectExtent l="12700" t="11430" r="6350"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3B7D6" id="_x0000_t32" coordsize="21600,21600" o:spt="32" o:oned="t" path="m,l21600,21600e" filled="f">
                <v:path arrowok="t" fillok="f" o:connecttype="none"/>
                <o:lock v:ext="edit" shapetype="t"/>
              </v:shapetype>
              <v:shape id="AutoShape 3" o:spid="_x0000_s1026" type="#_x0000_t32" style="position:absolute;margin-left:-32pt;margin-top:28.7pt;width:52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E/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7PHdDpL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"/>
            </w:pict>
          </mc:Fallback>
        </mc:AlternateContent>
      </w:r>
    </w:p>
    <w:p w:rsidR="000832B1" w:rsidRDefault="000832B1" w:rsidP="00A10134">
      <w:pPr>
        <w:spacing w:before="120" w:after="120" w:line="288" w:lineRule="auto"/>
        <w:jc w:val="center"/>
        <w:rPr>
          <w:rFonts w:ascii="Arial" w:hAnsi="Arial" w:cs="Arial"/>
          <w:b/>
          <w:sz w:val="22"/>
          <w:szCs w:val="22"/>
        </w:rPr>
      </w:pPr>
    </w:p>
    <w:p w:rsidR="00C846A0" w:rsidRPr="00A10134" w:rsidRDefault="00A10134" w:rsidP="00A10134">
      <w:pPr>
        <w:spacing w:before="120" w:after="120" w:line="288" w:lineRule="auto"/>
        <w:jc w:val="center"/>
        <w:rPr>
          <w:rFonts w:ascii="Arial" w:hAnsi="Arial" w:cs="Arial"/>
          <w:b/>
          <w:sz w:val="22"/>
          <w:szCs w:val="22"/>
        </w:rPr>
      </w:pPr>
      <w:r w:rsidRPr="00A10134">
        <w:rPr>
          <w:rFonts w:ascii="Arial" w:hAnsi="Arial" w:cs="Arial"/>
          <w:b/>
          <w:sz w:val="22"/>
          <w:szCs w:val="22"/>
        </w:rPr>
        <w:t>MEMORANDUM</w:t>
      </w:r>
    </w:p>
    <w:p w:rsidR="00C51A3A" w:rsidRDefault="00A10134" w:rsidP="00A10134">
      <w:pPr>
        <w:spacing w:before="120" w:after="120" w:line="288" w:lineRule="auto"/>
        <w:rPr>
          <w:rFonts w:ascii="Arial" w:hAnsi="Arial" w:cs="Arial"/>
          <w:b/>
          <w:sz w:val="22"/>
          <w:szCs w:val="22"/>
        </w:rPr>
      </w:pPr>
      <w:r>
        <w:rPr>
          <w:rFonts w:ascii="Arial" w:hAnsi="Arial" w:cs="Arial"/>
          <w:b/>
          <w:sz w:val="22"/>
          <w:szCs w:val="22"/>
        </w:rPr>
        <w:t>To:</w:t>
      </w:r>
      <w:r w:rsidR="000D4EA1">
        <w:rPr>
          <w:rFonts w:ascii="Arial" w:hAnsi="Arial" w:cs="Arial"/>
          <w:b/>
          <w:sz w:val="22"/>
          <w:szCs w:val="22"/>
        </w:rPr>
        <w:tab/>
      </w:r>
      <w:r w:rsidR="000D4EA1">
        <w:rPr>
          <w:rFonts w:ascii="Arial" w:hAnsi="Arial" w:cs="Arial"/>
          <w:b/>
          <w:sz w:val="22"/>
          <w:szCs w:val="22"/>
        </w:rPr>
        <w:tab/>
      </w:r>
      <w:r w:rsidR="009838A0">
        <w:rPr>
          <w:rFonts w:ascii="Arial" w:hAnsi="Arial" w:cs="Arial"/>
          <w:b/>
          <w:sz w:val="22"/>
          <w:szCs w:val="22"/>
        </w:rPr>
        <w:t>SISA MEMBERS</w:t>
      </w:r>
    </w:p>
    <w:p w:rsidR="00A10134" w:rsidRDefault="00A10134" w:rsidP="00A10134">
      <w:pPr>
        <w:spacing w:before="120" w:after="120" w:line="288" w:lineRule="auto"/>
        <w:rPr>
          <w:rFonts w:ascii="Arial" w:hAnsi="Arial" w:cs="Arial"/>
          <w:b/>
          <w:sz w:val="22"/>
          <w:szCs w:val="22"/>
        </w:rPr>
      </w:pPr>
      <w:r>
        <w:rPr>
          <w:rFonts w:ascii="Arial" w:hAnsi="Arial" w:cs="Arial"/>
          <w:b/>
          <w:sz w:val="22"/>
          <w:szCs w:val="22"/>
        </w:rPr>
        <w:t>From:</w:t>
      </w:r>
      <w:r w:rsidR="000D4EA1">
        <w:rPr>
          <w:rFonts w:ascii="Arial" w:hAnsi="Arial" w:cs="Arial"/>
          <w:b/>
          <w:sz w:val="22"/>
          <w:szCs w:val="22"/>
        </w:rPr>
        <w:tab/>
      </w:r>
      <w:r w:rsidR="000D4EA1">
        <w:rPr>
          <w:rFonts w:ascii="Arial" w:hAnsi="Arial" w:cs="Arial"/>
          <w:b/>
          <w:sz w:val="22"/>
          <w:szCs w:val="22"/>
        </w:rPr>
        <w:tab/>
        <w:t>ROBIN SHAW</w:t>
      </w:r>
    </w:p>
    <w:p w:rsidR="00A10134" w:rsidRDefault="00A10134" w:rsidP="00A10134">
      <w:pPr>
        <w:spacing w:before="120" w:after="120" w:line="288" w:lineRule="auto"/>
        <w:rPr>
          <w:rFonts w:ascii="Arial" w:hAnsi="Arial" w:cs="Arial"/>
          <w:b/>
          <w:sz w:val="22"/>
          <w:szCs w:val="22"/>
        </w:rPr>
      </w:pPr>
      <w:r>
        <w:rPr>
          <w:rFonts w:ascii="Arial" w:hAnsi="Arial" w:cs="Arial"/>
          <w:b/>
          <w:sz w:val="22"/>
          <w:szCs w:val="22"/>
        </w:rPr>
        <w:t>Date:</w:t>
      </w:r>
      <w:r w:rsidR="000D4EA1">
        <w:rPr>
          <w:rFonts w:ascii="Arial" w:hAnsi="Arial" w:cs="Arial"/>
          <w:b/>
          <w:sz w:val="22"/>
          <w:szCs w:val="22"/>
        </w:rPr>
        <w:tab/>
      </w:r>
      <w:r w:rsidR="000D4EA1">
        <w:rPr>
          <w:rFonts w:ascii="Arial" w:hAnsi="Arial" w:cs="Arial"/>
          <w:b/>
          <w:sz w:val="22"/>
          <w:szCs w:val="22"/>
        </w:rPr>
        <w:tab/>
      </w:r>
      <w:r w:rsidR="00655808">
        <w:rPr>
          <w:rFonts w:ascii="Arial" w:hAnsi="Arial" w:cs="Arial"/>
          <w:b/>
          <w:sz w:val="22"/>
          <w:szCs w:val="22"/>
        </w:rPr>
        <w:t>1</w:t>
      </w:r>
      <w:r w:rsidR="00851A02">
        <w:rPr>
          <w:rFonts w:ascii="Arial" w:hAnsi="Arial" w:cs="Arial"/>
          <w:b/>
          <w:sz w:val="22"/>
          <w:szCs w:val="22"/>
        </w:rPr>
        <w:t>9</w:t>
      </w:r>
      <w:r w:rsidR="00655808">
        <w:rPr>
          <w:rFonts w:ascii="Arial" w:hAnsi="Arial" w:cs="Arial"/>
          <w:b/>
          <w:sz w:val="22"/>
          <w:szCs w:val="22"/>
        </w:rPr>
        <w:t xml:space="preserve"> </w:t>
      </w:r>
      <w:r w:rsidR="00E62BC4">
        <w:rPr>
          <w:rFonts w:ascii="Arial" w:hAnsi="Arial" w:cs="Arial"/>
          <w:b/>
          <w:sz w:val="22"/>
          <w:szCs w:val="22"/>
        </w:rPr>
        <w:t xml:space="preserve">FEBRUARY </w:t>
      </w:r>
      <w:r w:rsidR="00655808">
        <w:rPr>
          <w:rFonts w:ascii="Arial" w:hAnsi="Arial" w:cs="Arial"/>
          <w:b/>
          <w:sz w:val="22"/>
          <w:szCs w:val="22"/>
        </w:rPr>
        <w:t>2014</w:t>
      </w:r>
    </w:p>
    <w:p w:rsidR="00A10134" w:rsidRDefault="00354E29" w:rsidP="00A10134">
      <w:pPr>
        <w:spacing w:before="120" w:after="120" w:line="288"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-415925</wp:posOffset>
                </wp:positionH>
                <wp:positionV relativeFrom="paragraph">
                  <wp:posOffset>220345</wp:posOffset>
                </wp:positionV>
                <wp:extent cx="6705600" cy="0"/>
                <wp:effectExtent l="12700" t="12065" r="635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782C3" id="AutoShape 4" o:spid="_x0000_s1026" type="#_x0000_t32" style="position:absolute;margin-left:-32.75pt;margin-top:17.35pt;width:5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fX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7PHdDpL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"/>
            </w:pict>
          </mc:Fallback>
        </mc:AlternateContent>
      </w:r>
      <w:r w:rsidR="00A10134">
        <w:rPr>
          <w:rFonts w:ascii="Arial" w:hAnsi="Arial" w:cs="Arial"/>
          <w:b/>
          <w:sz w:val="22"/>
          <w:szCs w:val="22"/>
        </w:rPr>
        <w:t>Subject:</w:t>
      </w:r>
      <w:r w:rsidR="00887911">
        <w:rPr>
          <w:rFonts w:ascii="Arial" w:hAnsi="Arial" w:cs="Arial"/>
          <w:b/>
          <w:sz w:val="22"/>
          <w:szCs w:val="22"/>
        </w:rPr>
        <w:tab/>
      </w:r>
      <w:r w:rsidR="00D5724D">
        <w:rPr>
          <w:rFonts w:ascii="Arial" w:hAnsi="Arial" w:cs="Arial"/>
          <w:b/>
          <w:sz w:val="22"/>
          <w:szCs w:val="22"/>
        </w:rPr>
        <w:t>SISA</w:t>
      </w:r>
      <w:r w:rsidR="00E62BC4">
        <w:rPr>
          <w:rFonts w:ascii="Arial" w:hAnsi="Arial" w:cs="Arial"/>
          <w:b/>
          <w:sz w:val="22"/>
          <w:szCs w:val="22"/>
        </w:rPr>
        <w:t xml:space="preserve"> POLICY ON WORKCOVER SCHEME REFORM</w:t>
      </w:r>
    </w:p>
    <w:p w:rsidR="000D4EA1" w:rsidRDefault="000D4EA1" w:rsidP="00A10134">
      <w:pPr>
        <w:spacing w:before="120" w:after="120" w:line="288" w:lineRule="auto"/>
        <w:rPr>
          <w:rFonts w:ascii="Arial" w:hAnsi="Arial" w:cs="Arial"/>
          <w:sz w:val="22"/>
          <w:szCs w:val="22"/>
        </w:rPr>
      </w:pPr>
    </w:p>
    <w:p w:rsidR="00DD3F0A" w:rsidRDefault="00E62BC4" w:rsidP="00354E29">
      <w:pPr>
        <w:spacing w:before="120" w:after="120" w:line="288" w:lineRule="auto"/>
        <w:rPr>
          <w:rFonts w:ascii="Arial" w:hAnsi="Arial" w:cs="Arial"/>
          <w:sz w:val="22"/>
          <w:szCs w:val="22"/>
        </w:rPr>
      </w:pPr>
      <w:r>
        <w:rPr>
          <w:rFonts w:ascii="Arial" w:hAnsi="Arial" w:cs="Arial"/>
          <w:sz w:val="22"/>
          <w:szCs w:val="22"/>
        </w:rPr>
        <w:t xml:space="preserve">The purpose of this paper is to </w:t>
      </w:r>
      <w:r w:rsidR="009838A0">
        <w:rPr>
          <w:rFonts w:ascii="Arial" w:hAnsi="Arial" w:cs="Arial"/>
          <w:sz w:val="22"/>
          <w:szCs w:val="22"/>
        </w:rPr>
        <w:t>outline</w:t>
      </w:r>
      <w:r>
        <w:rPr>
          <w:rFonts w:ascii="Arial" w:hAnsi="Arial" w:cs="Arial"/>
          <w:sz w:val="22"/>
          <w:szCs w:val="22"/>
        </w:rPr>
        <w:t xml:space="preserve"> SISA policy on the Government proposals for workers compensation scheme reform published on 24</w:t>
      </w:r>
      <w:r w:rsidRPr="00E62BC4">
        <w:rPr>
          <w:rFonts w:ascii="Arial" w:hAnsi="Arial" w:cs="Arial"/>
          <w:sz w:val="22"/>
          <w:szCs w:val="22"/>
          <w:vertAlign w:val="superscript"/>
        </w:rPr>
        <w:t>th</w:t>
      </w:r>
      <w:r>
        <w:rPr>
          <w:rFonts w:ascii="Arial" w:hAnsi="Arial" w:cs="Arial"/>
          <w:sz w:val="22"/>
          <w:szCs w:val="22"/>
        </w:rPr>
        <w:t xml:space="preserve"> January 2014.</w:t>
      </w:r>
      <w:r w:rsidR="0007778D">
        <w:rPr>
          <w:rFonts w:ascii="Arial" w:hAnsi="Arial" w:cs="Arial"/>
          <w:sz w:val="22"/>
          <w:szCs w:val="22"/>
        </w:rPr>
        <w:t xml:space="preserve"> The Opposition, on seeing the proposals, stated that if it sees merit in the proposals, it will carry them out if it wins Government.</w:t>
      </w:r>
    </w:p>
    <w:p w:rsidR="0007778D" w:rsidRDefault="0007778D" w:rsidP="00354E29">
      <w:pPr>
        <w:spacing w:before="120" w:after="120" w:line="288" w:lineRule="auto"/>
        <w:rPr>
          <w:rFonts w:ascii="Arial" w:hAnsi="Arial" w:cs="Arial"/>
          <w:sz w:val="22"/>
          <w:szCs w:val="22"/>
        </w:rPr>
      </w:pPr>
      <w:r>
        <w:rPr>
          <w:rFonts w:ascii="Arial" w:hAnsi="Arial" w:cs="Arial"/>
          <w:sz w:val="22"/>
          <w:szCs w:val="22"/>
        </w:rPr>
        <w:t xml:space="preserve">While it is obvious that nothing more concrete will be forthcoming before the State election, whoever wins will seek stakeholder views on the proposals. It is also possible that this will happen sooner rather than later following the election, so it is not too early to </w:t>
      </w:r>
      <w:r w:rsidR="00A61CF4">
        <w:rPr>
          <w:rFonts w:ascii="Arial" w:hAnsi="Arial" w:cs="Arial"/>
          <w:sz w:val="22"/>
          <w:szCs w:val="22"/>
        </w:rPr>
        <w:t>state our</w:t>
      </w:r>
      <w:r>
        <w:rPr>
          <w:rFonts w:ascii="Arial" w:hAnsi="Arial" w:cs="Arial"/>
          <w:sz w:val="22"/>
          <w:szCs w:val="22"/>
        </w:rPr>
        <w:t xml:space="preserve"> policy position on </w:t>
      </w:r>
      <w:r w:rsidR="00A61CF4">
        <w:rPr>
          <w:rFonts w:ascii="Arial" w:hAnsi="Arial" w:cs="Arial"/>
          <w:sz w:val="22"/>
          <w:szCs w:val="22"/>
        </w:rPr>
        <w:t xml:space="preserve">the </w:t>
      </w:r>
      <w:r>
        <w:rPr>
          <w:rFonts w:ascii="Arial" w:hAnsi="Arial" w:cs="Arial"/>
          <w:sz w:val="22"/>
          <w:szCs w:val="22"/>
        </w:rPr>
        <w:t>proposed reforms.</w:t>
      </w:r>
    </w:p>
    <w:p w:rsidR="00E62BC4" w:rsidRPr="00E62BC4" w:rsidRDefault="00E62BC4" w:rsidP="00354E29">
      <w:pPr>
        <w:spacing w:before="120" w:after="120" w:line="288" w:lineRule="auto"/>
        <w:rPr>
          <w:rFonts w:ascii="Arial" w:hAnsi="Arial" w:cs="Arial"/>
          <w:b/>
          <w:sz w:val="22"/>
          <w:szCs w:val="22"/>
        </w:rPr>
      </w:pPr>
      <w:r>
        <w:rPr>
          <w:rFonts w:ascii="Arial" w:hAnsi="Arial" w:cs="Arial"/>
          <w:b/>
          <w:sz w:val="22"/>
          <w:szCs w:val="22"/>
        </w:rPr>
        <w:t>Overview</w:t>
      </w:r>
    </w:p>
    <w:p w:rsidR="00E62BC4" w:rsidRDefault="00D5724D" w:rsidP="00A31B9D">
      <w:pPr>
        <w:spacing w:before="120" w:after="120" w:line="288" w:lineRule="auto"/>
        <w:rPr>
          <w:rFonts w:ascii="Arial" w:hAnsi="Arial" w:cs="Arial"/>
          <w:sz w:val="22"/>
          <w:szCs w:val="22"/>
        </w:rPr>
      </w:pPr>
      <w:r>
        <w:rPr>
          <w:rFonts w:ascii="Arial" w:hAnsi="Arial" w:cs="Arial"/>
          <w:sz w:val="22"/>
          <w:szCs w:val="22"/>
        </w:rPr>
        <w:t>The Government paper outlines the following:</w:t>
      </w:r>
    </w:p>
    <w:p w:rsidR="00D5724D" w:rsidRDefault="00D5724D" w:rsidP="00230AC2">
      <w:pPr>
        <w:pStyle w:val="ListParagraph"/>
        <w:numPr>
          <w:ilvl w:val="0"/>
          <w:numId w:val="3"/>
        </w:numPr>
        <w:spacing w:before="120" w:after="120" w:line="288" w:lineRule="auto"/>
        <w:ind w:left="357" w:hanging="357"/>
        <w:contextualSpacing w:val="0"/>
        <w:rPr>
          <w:rFonts w:ascii="Arial" w:hAnsi="Arial" w:cs="Arial"/>
          <w:sz w:val="22"/>
          <w:szCs w:val="22"/>
        </w:rPr>
      </w:pPr>
      <w:r>
        <w:rPr>
          <w:rFonts w:ascii="Arial" w:hAnsi="Arial" w:cs="Arial"/>
          <w:sz w:val="22"/>
          <w:szCs w:val="22"/>
        </w:rPr>
        <w:t xml:space="preserve">Seriously injured workers will be entitled to 100% income maintenance and lifetime care and support. </w:t>
      </w:r>
    </w:p>
    <w:p w:rsidR="00230AC2" w:rsidRDefault="00230AC2" w:rsidP="00230AC2">
      <w:pPr>
        <w:pStyle w:val="ListParagraph"/>
        <w:numPr>
          <w:ilvl w:val="0"/>
          <w:numId w:val="3"/>
        </w:numPr>
        <w:spacing w:before="120" w:after="120" w:line="288" w:lineRule="auto"/>
        <w:ind w:left="357" w:hanging="357"/>
        <w:contextualSpacing w:val="0"/>
        <w:rPr>
          <w:rFonts w:ascii="Arial" w:hAnsi="Arial" w:cs="Arial"/>
          <w:sz w:val="22"/>
          <w:szCs w:val="22"/>
        </w:rPr>
      </w:pPr>
      <w:r>
        <w:rPr>
          <w:rFonts w:ascii="Arial" w:hAnsi="Arial" w:cs="Arial"/>
          <w:sz w:val="22"/>
          <w:szCs w:val="22"/>
        </w:rPr>
        <w:t xml:space="preserve">Access to common law will be available subject to unspecified restrictions and limitations. </w:t>
      </w:r>
    </w:p>
    <w:p w:rsidR="00230AC2" w:rsidRDefault="00230AC2" w:rsidP="00230AC2">
      <w:pPr>
        <w:pStyle w:val="ListParagraph"/>
        <w:numPr>
          <w:ilvl w:val="0"/>
          <w:numId w:val="3"/>
        </w:numPr>
        <w:spacing w:before="120" w:after="120" w:line="288" w:lineRule="auto"/>
        <w:ind w:left="357" w:hanging="357"/>
        <w:contextualSpacing w:val="0"/>
        <w:rPr>
          <w:rFonts w:ascii="Arial" w:hAnsi="Arial" w:cs="Arial"/>
          <w:sz w:val="22"/>
          <w:szCs w:val="22"/>
        </w:rPr>
      </w:pPr>
      <w:r>
        <w:rPr>
          <w:rFonts w:ascii="Arial" w:hAnsi="Arial" w:cs="Arial"/>
          <w:sz w:val="22"/>
          <w:szCs w:val="22"/>
        </w:rPr>
        <w:t>The causation tests for claims (including psychological claims) will be strengthened.</w:t>
      </w:r>
    </w:p>
    <w:p w:rsidR="00230AC2" w:rsidRDefault="00877556" w:rsidP="00230AC2">
      <w:pPr>
        <w:pStyle w:val="ListParagraph"/>
        <w:numPr>
          <w:ilvl w:val="0"/>
          <w:numId w:val="3"/>
        </w:numPr>
        <w:spacing w:before="120" w:after="120" w:line="288" w:lineRule="auto"/>
        <w:ind w:left="357" w:hanging="357"/>
        <w:contextualSpacing w:val="0"/>
        <w:rPr>
          <w:rFonts w:ascii="Arial" w:hAnsi="Arial" w:cs="Arial"/>
          <w:sz w:val="22"/>
          <w:szCs w:val="22"/>
        </w:rPr>
      </w:pPr>
      <w:r>
        <w:rPr>
          <w:rFonts w:ascii="Arial" w:hAnsi="Arial" w:cs="Arial"/>
          <w:sz w:val="22"/>
          <w:szCs w:val="22"/>
        </w:rPr>
        <w:t>The distinction between injuries and secondary injuries will be removed.</w:t>
      </w:r>
    </w:p>
    <w:p w:rsidR="00877556" w:rsidRDefault="00877556" w:rsidP="00230AC2">
      <w:pPr>
        <w:pStyle w:val="ListParagraph"/>
        <w:numPr>
          <w:ilvl w:val="0"/>
          <w:numId w:val="3"/>
        </w:numPr>
        <w:spacing w:before="120" w:after="120" w:line="288" w:lineRule="auto"/>
        <w:ind w:left="357" w:hanging="357"/>
        <w:contextualSpacing w:val="0"/>
        <w:rPr>
          <w:rFonts w:ascii="Arial" w:hAnsi="Arial" w:cs="Arial"/>
          <w:sz w:val="22"/>
          <w:szCs w:val="22"/>
        </w:rPr>
      </w:pPr>
      <w:r>
        <w:rPr>
          <w:rFonts w:ascii="Arial" w:hAnsi="Arial" w:cs="Arial"/>
          <w:sz w:val="22"/>
          <w:szCs w:val="22"/>
        </w:rPr>
        <w:t>Unspecified strengthening of employer responsibilities to provide suitable employment along with early intervention, employee obligations and the like.</w:t>
      </w:r>
    </w:p>
    <w:p w:rsidR="00877556" w:rsidRDefault="00877556" w:rsidP="00230AC2">
      <w:pPr>
        <w:pStyle w:val="ListParagraph"/>
        <w:numPr>
          <w:ilvl w:val="0"/>
          <w:numId w:val="3"/>
        </w:numPr>
        <w:spacing w:before="120" w:after="120" w:line="288" w:lineRule="auto"/>
        <w:ind w:left="357" w:hanging="357"/>
        <w:contextualSpacing w:val="0"/>
        <w:rPr>
          <w:rFonts w:ascii="Arial" w:hAnsi="Arial" w:cs="Arial"/>
          <w:sz w:val="22"/>
          <w:szCs w:val="22"/>
        </w:rPr>
      </w:pPr>
      <w:r>
        <w:rPr>
          <w:rFonts w:ascii="Arial" w:hAnsi="Arial" w:cs="Arial"/>
          <w:sz w:val="22"/>
          <w:szCs w:val="22"/>
        </w:rPr>
        <w:t>Income maintenance (IM) to be capped at 2 years from date of injury.</w:t>
      </w:r>
    </w:p>
    <w:p w:rsidR="00877556" w:rsidRDefault="00877556" w:rsidP="00230AC2">
      <w:pPr>
        <w:pStyle w:val="ListParagraph"/>
        <w:numPr>
          <w:ilvl w:val="0"/>
          <w:numId w:val="3"/>
        </w:numPr>
        <w:spacing w:before="120" w:after="120" w:line="288" w:lineRule="auto"/>
        <w:ind w:left="357" w:hanging="357"/>
        <w:contextualSpacing w:val="0"/>
        <w:rPr>
          <w:rFonts w:ascii="Arial" w:hAnsi="Arial" w:cs="Arial"/>
          <w:sz w:val="22"/>
          <w:szCs w:val="22"/>
        </w:rPr>
      </w:pPr>
      <w:r>
        <w:rPr>
          <w:rFonts w:ascii="Arial" w:hAnsi="Arial" w:cs="Arial"/>
          <w:sz w:val="22"/>
          <w:szCs w:val="22"/>
        </w:rPr>
        <w:t>Medical entitlements to cease 1 year after IM ceases.</w:t>
      </w:r>
    </w:p>
    <w:p w:rsidR="00877556" w:rsidRDefault="00877556" w:rsidP="00230AC2">
      <w:pPr>
        <w:pStyle w:val="ListParagraph"/>
        <w:numPr>
          <w:ilvl w:val="0"/>
          <w:numId w:val="3"/>
        </w:numPr>
        <w:spacing w:before="120" w:after="120" w:line="288" w:lineRule="auto"/>
        <w:ind w:left="357" w:hanging="357"/>
        <w:contextualSpacing w:val="0"/>
        <w:rPr>
          <w:rFonts w:ascii="Arial" w:hAnsi="Arial" w:cs="Arial"/>
          <w:sz w:val="22"/>
          <w:szCs w:val="22"/>
        </w:rPr>
      </w:pPr>
      <w:r>
        <w:rPr>
          <w:rFonts w:ascii="Arial" w:hAnsi="Arial" w:cs="Arial"/>
          <w:sz w:val="22"/>
          <w:szCs w:val="22"/>
        </w:rPr>
        <w:t>An unspecified ‘new approach’ to dispute resolution.</w:t>
      </w:r>
    </w:p>
    <w:p w:rsidR="00877556" w:rsidRDefault="00877556" w:rsidP="00230AC2">
      <w:pPr>
        <w:pStyle w:val="ListParagraph"/>
        <w:numPr>
          <w:ilvl w:val="0"/>
          <w:numId w:val="3"/>
        </w:numPr>
        <w:spacing w:before="120" w:after="120" w:line="288" w:lineRule="auto"/>
        <w:ind w:left="357" w:hanging="357"/>
        <w:contextualSpacing w:val="0"/>
        <w:rPr>
          <w:rFonts w:ascii="Arial" w:hAnsi="Arial" w:cs="Arial"/>
          <w:sz w:val="22"/>
          <w:szCs w:val="22"/>
        </w:rPr>
      </w:pPr>
      <w:r>
        <w:rPr>
          <w:rFonts w:ascii="Arial" w:hAnsi="Arial" w:cs="Arial"/>
          <w:sz w:val="22"/>
          <w:szCs w:val="22"/>
        </w:rPr>
        <w:t>Replacement of medical panels with Independent Medical Assessors within the jurisdiction of the Workers Compensation Tribunal (WCT).</w:t>
      </w:r>
    </w:p>
    <w:p w:rsidR="00E62BC4" w:rsidRPr="00E62BC4" w:rsidRDefault="00E62BC4" w:rsidP="00A31B9D">
      <w:pPr>
        <w:spacing w:before="120" w:after="120" w:line="288" w:lineRule="auto"/>
        <w:rPr>
          <w:rFonts w:ascii="Arial" w:hAnsi="Arial" w:cs="Arial"/>
          <w:b/>
          <w:sz w:val="22"/>
          <w:szCs w:val="22"/>
        </w:rPr>
      </w:pPr>
      <w:r>
        <w:rPr>
          <w:rFonts w:ascii="Arial" w:hAnsi="Arial" w:cs="Arial"/>
          <w:b/>
          <w:sz w:val="22"/>
          <w:szCs w:val="22"/>
        </w:rPr>
        <w:t>Impact of the proposals</w:t>
      </w:r>
    </w:p>
    <w:p w:rsidR="00A31B9D" w:rsidRPr="00E62BC4" w:rsidRDefault="00A61CF4" w:rsidP="00A61CF4">
      <w:pPr>
        <w:spacing w:before="120" w:after="120" w:line="288" w:lineRule="auto"/>
        <w:rPr>
          <w:rFonts w:ascii="Arial" w:hAnsi="Arial" w:cs="Arial"/>
          <w:sz w:val="22"/>
          <w:szCs w:val="22"/>
        </w:rPr>
      </w:pPr>
      <w:r>
        <w:rPr>
          <w:rFonts w:ascii="Arial" w:hAnsi="Arial" w:cs="Arial"/>
          <w:sz w:val="22"/>
          <w:szCs w:val="22"/>
        </w:rPr>
        <w:t xml:space="preserve">It is likely </w:t>
      </w:r>
      <w:r w:rsidR="00E62BC4">
        <w:rPr>
          <w:rFonts w:ascii="Arial" w:hAnsi="Arial" w:cs="Arial"/>
          <w:sz w:val="22"/>
          <w:szCs w:val="22"/>
        </w:rPr>
        <w:t>that</w:t>
      </w:r>
      <w:r w:rsidR="00D5724D">
        <w:rPr>
          <w:rFonts w:ascii="Arial" w:hAnsi="Arial" w:cs="Arial"/>
          <w:sz w:val="22"/>
          <w:szCs w:val="22"/>
        </w:rPr>
        <w:t>, everything else being equal and legislation is passed that works as intended</w:t>
      </w:r>
      <w:r>
        <w:rPr>
          <w:rFonts w:ascii="Arial" w:hAnsi="Arial" w:cs="Arial"/>
          <w:sz w:val="22"/>
          <w:szCs w:val="22"/>
        </w:rPr>
        <w:t>, t</w:t>
      </w:r>
      <w:r w:rsidR="00E62BC4" w:rsidRPr="00E62BC4">
        <w:rPr>
          <w:rFonts w:ascii="Arial" w:hAnsi="Arial" w:cs="Arial"/>
          <w:sz w:val="22"/>
          <w:szCs w:val="22"/>
        </w:rPr>
        <w:t xml:space="preserve">he scheme break-even premium rate (sometimes called the ‘hindsight rate’) would drop from 3.34% to </w:t>
      </w:r>
      <w:r>
        <w:rPr>
          <w:rFonts w:ascii="Arial" w:hAnsi="Arial" w:cs="Arial"/>
          <w:sz w:val="22"/>
          <w:szCs w:val="22"/>
        </w:rPr>
        <w:t xml:space="preserve">around </w:t>
      </w:r>
      <w:r w:rsidR="00E62BC4" w:rsidRPr="00E62BC4">
        <w:rPr>
          <w:rFonts w:ascii="Arial" w:hAnsi="Arial" w:cs="Arial"/>
          <w:sz w:val="22"/>
          <w:szCs w:val="22"/>
        </w:rPr>
        <w:t>2%.</w:t>
      </w:r>
    </w:p>
    <w:p w:rsidR="00E62BC4" w:rsidRPr="00A61CF4" w:rsidRDefault="00E62BC4" w:rsidP="00A61CF4">
      <w:pPr>
        <w:spacing w:before="120" w:after="120" w:line="288" w:lineRule="auto"/>
        <w:rPr>
          <w:rFonts w:ascii="Arial" w:hAnsi="Arial" w:cs="Arial"/>
          <w:sz w:val="22"/>
          <w:szCs w:val="22"/>
        </w:rPr>
      </w:pPr>
      <w:r w:rsidRPr="00A61CF4">
        <w:rPr>
          <w:rFonts w:ascii="Arial" w:hAnsi="Arial" w:cs="Arial"/>
          <w:sz w:val="22"/>
          <w:szCs w:val="22"/>
        </w:rPr>
        <w:lastRenderedPageBreak/>
        <w:t xml:space="preserve">The </w:t>
      </w:r>
      <w:r w:rsidR="00A61CF4">
        <w:rPr>
          <w:rFonts w:ascii="Arial" w:hAnsi="Arial" w:cs="Arial"/>
          <w:sz w:val="22"/>
          <w:szCs w:val="22"/>
        </w:rPr>
        <w:t xml:space="preserve">scheme </w:t>
      </w:r>
      <w:r w:rsidRPr="00A61CF4">
        <w:rPr>
          <w:rFonts w:ascii="Arial" w:hAnsi="Arial" w:cs="Arial"/>
          <w:sz w:val="22"/>
          <w:szCs w:val="22"/>
        </w:rPr>
        <w:t xml:space="preserve">outstanding claims liability would drop </w:t>
      </w:r>
      <w:r w:rsidR="00A61CF4">
        <w:rPr>
          <w:rFonts w:ascii="Arial" w:hAnsi="Arial" w:cs="Arial"/>
          <w:sz w:val="22"/>
          <w:szCs w:val="22"/>
        </w:rPr>
        <w:t>to a level close to the scheme’s assets</w:t>
      </w:r>
      <w:r w:rsidRPr="00A61CF4">
        <w:rPr>
          <w:rFonts w:ascii="Arial" w:hAnsi="Arial" w:cs="Arial"/>
          <w:sz w:val="22"/>
          <w:szCs w:val="22"/>
        </w:rPr>
        <w:t xml:space="preserve">, thereby eliminating the </w:t>
      </w:r>
      <w:r w:rsidR="00D5724D" w:rsidRPr="00A61CF4">
        <w:rPr>
          <w:rFonts w:ascii="Arial" w:hAnsi="Arial" w:cs="Arial"/>
          <w:sz w:val="22"/>
          <w:szCs w:val="22"/>
        </w:rPr>
        <w:t xml:space="preserve">$1.4 billion </w:t>
      </w:r>
      <w:r w:rsidRPr="00A61CF4">
        <w:rPr>
          <w:rFonts w:ascii="Arial" w:hAnsi="Arial" w:cs="Arial"/>
          <w:sz w:val="22"/>
          <w:szCs w:val="22"/>
        </w:rPr>
        <w:t>unfunded portion of the liability.</w:t>
      </w:r>
    </w:p>
    <w:p w:rsidR="00E62BC4" w:rsidRDefault="00D5724D" w:rsidP="00E62BC4">
      <w:pPr>
        <w:spacing w:before="120" w:after="120" w:line="288" w:lineRule="auto"/>
        <w:rPr>
          <w:rFonts w:ascii="Arial" w:hAnsi="Arial" w:cs="Arial"/>
          <w:sz w:val="22"/>
          <w:szCs w:val="22"/>
        </w:rPr>
      </w:pPr>
      <w:r>
        <w:rPr>
          <w:rFonts w:ascii="Arial" w:hAnsi="Arial" w:cs="Arial"/>
          <w:sz w:val="22"/>
          <w:szCs w:val="22"/>
        </w:rPr>
        <w:t xml:space="preserve">Self insurers can expect to see similar balance sheet results, if not so </w:t>
      </w:r>
      <w:r w:rsidR="00A61CF4">
        <w:rPr>
          <w:rFonts w:ascii="Arial" w:hAnsi="Arial" w:cs="Arial"/>
          <w:sz w:val="22"/>
          <w:szCs w:val="22"/>
        </w:rPr>
        <w:t>dramatic</w:t>
      </w:r>
      <w:r>
        <w:rPr>
          <w:rFonts w:ascii="Arial" w:hAnsi="Arial" w:cs="Arial"/>
          <w:sz w:val="22"/>
          <w:szCs w:val="22"/>
        </w:rPr>
        <w:t xml:space="preserve"> given their much lower liabilities. However</w:t>
      </w:r>
      <w:r w:rsidR="00A61CF4">
        <w:rPr>
          <w:rFonts w:ascii="Arial" w:hAnsi="Arial" w:cs="Arial"/>
          <w:sz w:val="22"/>
          <w:szCs w:val="22"/>
        </w:rPr>
        <w:t>,</w:t>
      </w:r>
      <w:r>
        <w:rPr>
          <w:rFonts w:ascii="Arial" w:hAnsi="Arial" w:cs="Arial"/>
          <w:sz w:val="22"/>
          <w:szCs w:val="22"/>
        </w:rPr>
        <w:t xml:space="preserve"> a great many things can erode or wipe out these reductions, not the least being the very real risk of poorly drafted legislation and/or attack on the reforms by the Workers Compensation Tribunal.</w:t>
      </w:r>
    </w:p>
    <w:p w:rsidR="00877556" w:rsidRDefault="00877556" w:rsidP="00E62BC4">
      <w:pPr>
        <w:spacing w:before="120" w:after="120" w:line="288" w:lineRule="auto"/>
        <w:rPr>
          <w:rFonts w:ascii="Arial" w:hAnsi="Arial" w:cs="Arial"/>
          <w:sz w:val="22"/>
          <w:szCs w:val="22"/>
        </w:rPr>
      </w:pPr>
      <w:r>
        <w:rPr>
          <w:rFonts w:ascii="Arial" w:hAnsi="Arial" w:cs="Arial"/>
          <w:sz w:val="22"/>
          <w:szCs w:val="22"/>
        </w:rPr>
        <w:t xml:space="preserve">The following is </w:t>
      </w:r>
      <w:r w:rsidR="00A61CF4">
        <w:rPr>
          <w:rFonts w:ascii="Arial" w:hAnsi="Arial" w:cs="Arial"/>
          <w:sz w:val="22"/>
          <w:szCs w:val="22"/>
        </w:rPr>
        <w:t>the brief SISA response to</w:t>
      </w:r>
      <w:r>
        <w:rPr>
          <w:rFonts w:ascii="Arial" w:hAnsi="Arial" w:cs="Arial"/>
          <w:sz w:val="22"/>
          <w:szCs w:val="22"/>
        </w:rPr>
        <w:t xml:space="preserve"> the elements of the Government paper should be addressed.</w:t>
      </w:r>
    </w:p>
    <w:p w:rsidR="00877556" w:rsidRDefault="00877556" w:rsidP="00E62BC4">
      <w:pPr>
        <w:spacing w:before="120" w:after="120" w:line="288" w:lineRule="auto"/>
        <w:rPr>
          <w:rFonts w:ascii="Arial" w:hAnsi="Arial" w:cs="Arial"/>
          <w:sz w:val="22"/>
          <w:szCs w:val="22"/>
        </w:rPr>
      </w:pPr>
      <w:r>
        <w:rPr>
          <w:rFonts w:ascii="Arial" w:hAnsi="Arial" w:cs="Arial"/>
          <w:b/>
          <w:i/>
          <w:sz w:val="22"/>
          <w:szCs w:val="22"/>
        </w:rPr>
        <w:t>Seriously injured workers</w:t>
      </w:r>
    </w:p>
    <w:p w:rsidR="009910CC" w:rsidRDefault="00877556" w:rsidP="00E62BC4">
      <w:pPr>
        <w:spacing w:before="120" w:after="120" w:line="288" w:lineRule="auto"/>
        <w:rPr>
          <w:rFonts w:ascii="Arial" w:hAnsi="Arial" w:cs="Arial"/>
          <w:sz w:val="22"/>
          <w:szCs w:val="22"/>
        </w:rPr>
      </w:pPr>
      <w:r>
        <w:rPr>
          <w:rFonts w:ascii="Arial" w:hAnsi="Arial" w:cs="Arial"/>
          <w:sz w:val="22"/>
          <w:szCs w:val="22"/>
        </w:rPr>
        <w:t xml:space="preserve">While the Government paper does not state it, the </w:t>
      </w:r>
      <w:r w:rsidR="00A61CF4">
        <w:rPr>
          <w:rFonts w:ascii="Arial" w:hAnsi="Arial" w:cs="Arial"/>
          <w:sz w:val="22"/>
          <w:szCs w:val="22"/>
        </w:rPr>
        <w:t>general consensus is</w:t>
      </w:r>
      <w:r>
        <w:rPr>
          <w:rFonts w:ascii="Arial" w:hAnsi="Arial" w:cs="Arial"/>
          <w:sz w:val="22"/>
          <w:szCs w:val="22"/>
        </w:rPr>
        <w:t xml:space="preserve"> that a 30% </w:t>
      </w:r>
      <w:r w:rsidR="00A61CF4">
        <w:rPr>
          <w:rFonts w:ascii="Arial" w:hAnsi="Arial" w:cs="Arial"/>
          <w:sz w:val="22"/>
          <w:szCs w:val="22"/>
        </w:rPr>
        <w:t xml:space="preserve">or greater </w:t>
      </w:r>
      <w:r>
        <w:rPr>
          <w:rFonts w:ascii="Arial" w:hAnsi="Arial" w:cs="Arial"/>
          <w:sz w:val="22"/>
          <w:szCs w:val="22"/>
        </w:rPr>
        <w:t>whole person impairment (WPI) is envisaged as the definition of ‘seriously injured’. This is a very high hurdle</w:t>
      </w:r>
      <w:r w:rsidR="009910CC">
        <w:rPr>
          <w:rFonts w:ascii="Arial" w:hAnsi="Arial" w:cs="Arial"/>
          <w:sz w:val="22"/>
          <w:szCs w:val="22"/>
        </w:rPr>
        <w:t xml:space="preserve"> that would guarantee that only a handful of cases would arise each year across the entire scheme</w:t>
      </w:r>
      <w:r>
        <w:rPr>
          <w:rFonts w:ascii="Arial" w:hAnsi="Arial" w:cs="Arial"/>
          <w:sz w:val="22"/>
          <w:szCs w:val="22"/>
        </w:rPr>
        <w:t>.</w:t>
      </w:r>
      <w:r w:rsidR="009910CC">
        <w:rPr>
          <w:rFonts w:ascii="Arial" w:hAnsi="Arial" w:cs="Arial"/>
          <w:sz w:val="22"/>
          <w:szCs w:val="22"/>
        </w:rPr>
        <w:t xml:space="preserve"> (This assumes that the threshold is not porous and open to attack from the courts). </w:t>
      </w:r>
    </w:p>
    <w:p w:rsidR="00877556" w:rsidRPr="00877556" w:rsidRDefault="009910CC" w:rsidP="00E62BC4">
      <w:pPr>
        <w:spacing w:before="120" w:after="120" w:line="288" w:lineRule="auto"/>
        <w:rPr>
          <w:rFonts w:ascii="Arial" w:hAnsi="Arial" w:cs="Arial"/>
          <w:sz w:val="22"/>
          <w:szCs w:val="22"/>
        </w:rPr>
      </w:pPr>
      <w:r>
        <w:rPr>
          <w:rFonts w:ascii="Arial" w:hAnsi="Arial" w:cs="Arial"/>
          <w:sz w:val="22"/>
          <w:szCs w:val="22"/>
        </w:rPr>
        <w:t>It may well be that this threshold will be the subject of much more debate and may not remain at that level.</w:t>
      </w:r>
    </w:p>
    <w:p w:rsidR="00877556" w:rsidRDefault="00A61CF4" w:rsidP="00E62BC4">
      <w:pPr>
        <w:spacing w:before="120" w:after="120" w:line="288" w:lineRule="auto"/>
        <w:rPr>
          <w:rFonts w:ascii="Arial" w:hAnsi="Arial" w:cs="Arial"/>
          <w:sz w:val="22"/>
          <w:szCs w:val="22"/>
        </w:rPr>
      </w:pPr>
      <w:r>
        <w:rPr>
          <w:rFonts w:ascii="Arial" w:hAnsi="Arial" w:cs="Arial"/>
          <w:sz w:val="22"/>
          <w:szCs w:val="22"/>
        </w:rPr>
        <w:t>SISA will</w:t>
      </w:r>
      <w:r w:rsidR="009910CC">
        <w:rPr>
          <w:rFonts w:ascii="Arial" w:hAnsi="Arial" w:cs="Arial"/>
          <w:sz w:val="22"/>
          <w:szCs w:val="22"/>
        </w:rPr>
        <w:t xml:space="preserve"> reserve </w:t>
      </w:r>
      <w:r>
        <w:rPr>
          <w:rFonts w:ascii="Arial" w:hAnsi="Arial" w:cs="Arial"/>
          <w:sz w:val="22"/>
          <w:szCs w:val="22"/>
        </w:rPr>
        <w:t>its</w:t>
      </w:r>
      <w:r w:rsidR="009910CC">
        <w:rPr>
          <w:rFonts w:ascii="Arial" w:hAnsi="Arial" w:cs="Arial"/>
          <w:sz w:val="22"/>
          <w:szCs w:val="22"/>
        </w:rPr>
        <w:t xml:space="preserve"> position until more detail as to the proposed threshold and entitlements becomes publicly available.</w:t>
      </w:r>
    </w:p>
    <w:p w:rsidR="009910CC" w:rsidRDefault="009910CC" w:rsidP="00E62BC4">
      <w:pPr>
        <w:spacing w:before="120" w:after="120" w:line="288" w:lineRule="auto"/>
        <w:rPr>
          <w:rFonts w:ascii="Arial" w:hAnsi="Arial" w:cs="Arial"/>
          <w:sz w:val="22"/>
          <w:szCs w:val="22"/>
        </w:rPr>
      </w:pPr>
      <w:r>
        <w:rPr>
          <w:rFonts w:ascii="Arial" w:hAnsi="Arial" w:cs="Arial"/>
          <w:b/>
          <w:i/>
          <w:sz w:val="22"/>
          <w:szCs w:val="22"/>
        </w:rPr>
        <w:t>Common law</w:t>
      </w:r>
    </w:p>
    <w:p w:rsidR="009910CC" w:rsidRDefault="009910CC" w:rsidP="00E62BC4">
      <w:pPr>
        <w:spacing w:before="120" w:after="120" w:line="288" w:lineRule="auto"/>
        <w:rPr>
          <w:rFonts w:ascii="Arial" w:hAnsi="Arial" w:cs="Arial"/>
          <w:sz w:val="22"/>
          <w:szCs w:val="22"/>
        </w:rPr>
      </w:pPr>
      <w:r>
        <w:rPr>
          <w:rFonts w:ascii="Arial" w:hAnsi="Arial" w:cs="Arial"/>
          <w:sz w:val="22"/>
          <w:szCs w:val="22"/>
        </w:rPr>
        <w:t>It is noteworthy that while the Government paper mentions unspecified restrictions and limitations on common law access</w:t>
      </w:r>
      <w:r w:rsidR="00A61CF4">
        <w:rPr>
          <w:rFonts w:ascii="Arial" w:hAnsi="Arial" w:cs="Arial"/>
          <w:sz w:val="22"/>
          <w:szCs w:val="22"/>
        </w:rPr>
        <w:t xml:space="preserve"> such as</w:t>
      </w:r>
      <w:r>
        <w:rPr>
          <w:rFonts w:ascii="Arial" w:hAnsi="Arial" w:cs="Arial"/>
          <w:sz w:val="22"/>
          <w:szCs w:val="22"/>
        </w:rPr>
        <w:t xml:space="preserve"> </w:t>
      </w:r>
      <w:r w:rsidR="00A61CF4">
        <w:rPr>
          <w:rFonts w:ascii="Arial" w:hAnsi="Arial" w:cs="Arial"/>
          <w:sz w:val="22"/>
          <w:szCs w:val="22"/>
        </w:rPr>
        <w:t xml:space="preserve">a WPI threshold level, </w:t>
      </w:r>
      <w:r>
        <w:rPr>
          <w:rFonts w:ascii="Arial" w:hAnsi="Arial" w:cs="Arial"/>
          <w:sz w:val="22"/>
          <w:szCs w:val="22"/>
        </w:rPr>
        <w:t xml:space="preserve">limits on quantum or heads of damage. </w:t>
      </w:r>
    </w:p>
    <w:p w:rsidR="009910CC" w:rsidRDefault="00A61CF4" w:rsidP="00E62BC4">
      <w:pPr>
        <w:spacing w:before="120" w:after="120" w:line="288" w:lineRule="auto"/>
        <w:rPr>
          <w:rFonts w:ascii="Arial" w:hAnsi="Arial" w:cs="Arial"/>
          <w:sz w:val="22"/>
          <w:szCs w:val="22"/>
        </w:rPr>
      </w:pPr>
      <w:r>
        <w:rPr>
          <w:rFonts w:ascii="Arial" w:hAnsi="Arial" w:cs="Arial"/>
          <w:sz w:val="22"/>
          <w:szCs w:val="22"/>
        </w:rPr>
        <w:t xml:space="preserve">From an </w:t>
      </w:r>
      <w:r w:rsidR="009910CC">
        <w:rPr>
          <w:rFonts w:ascii="Arial" w:hAnsi="Arial" w:cs="Arial"/>
          <w:sz w:val="22"/>
          <w:szCs w:val="22"/>
        </w:rPr>
        <w:t xml:space="preserve">actuarial </w:t>
      </w:r>
      <w:r>
        <w:rPr>
          <w:rFonts w:ascii="Arial" w:hAnsi="Arial" w:cs="Arial"/>
          <w:sz w:val="22"/>
          <w:szCs w:val="22"/>
        </w:rPr>
        <w:t>standpoint,</w:t>
      </w:r>
      <w:r w:rsidR="009910CC">
        <w:rPr>
          <w:rFonts w:ascii="Arial" w:hAnsi="Arial" w:cs="Arial"/>
          <w:sz w:val="22"/>
          <w:szCs w:val="22"/>
        </w:rPr>
        <w:t xml:space="preserve"> common law on its own </w:t>
      </w:r>
      <w:r>
        <w:rPr>
          <w:rFonts w:ascii="Arial" w:hAnsi="Arial" w:cs="Arial"/>
          <w:sz w:val="22"/>
          <w:szCs w:val="22"/>
        </w:rPr>
        <w:t>could</w:t>
      </w:r>
      <w:r w:rsidR="009910CC">
        <w:rPr>
          <w:rFonts w:ascii="Arial" w:hAnsi="Arial" w:cs="Arial"/>
          <w:sz w:val="22"/>
          <w:szCs w:val="22"/>
        </w:rPr>
        <w:t xml:space="preserve"> account for </w:t>
      </w:r>
      <w:r>
        <w:rPr>
          <w:rFonts w:ascii="Arial" w:hAnsi="Arial" w:cs="Arial"/>
          <w:sz w:val="22"/>
          <w:szCs w:val="22"/>
        </w:rPr>
        <w:t>anything from 10% to 20%</w:t>
      </w:r>
      <w:r w:rsidR="000832B1">
        <w:rPr>
          <w:rFonts w:ascii="Arial" w:hAnsi="Arial" w:cs="Arial"/>
          <w:sz w:val="22"/>
          <w:szCs w:val="22"/>
        </w:rPr>
        <w:t xml:space="preserve"> of claim costs for self insurers</w:t>
      </w:r>
      <w:r>
        <w:rPr>
          <w:rFonts w:ascii="Arial" w:hAnsi="Arial" w:cs="Arial"/>
          <w:sz w:val="22"/>
          <w:szCs w:val="22"/>
        </w:rPr>
        <w:t>, depending on how heavily access is limited and limits on heads of damage and quantum</w:t>
      </w:r>
      <w:r w:rsidR="000832B1">
        <w:rPr>
          <w:rFonts w:ascii="Arial" w:hAnsi="Arial" w:cs="Arial"/>
          <w:sz w:val="22"/>
          <w:szCs w:val="22"/>
        </w:rPr>
        <w:t xml:space="preserve">. </w:t>
      </w:r>
      <w:r w:rsidR="009910CC">
        <w:rPr>
          <w:rFonts w:ascii="Arial" w:hAnsi="Arial" w:cs="Arial"/>
          <w:sz w:val="22"/>
          <w:szCs w:val="22"/>
        </w:rPr>
        <w:t xml:space="preserve">This is a significant </w:t>
      </w:r>
      <w:r w:rsidR="000832B1">
        <w:rPr>
          <w:rFonts w:ascii="Arial" w:hAnsi="Arial" w:cs="Arial"/>
          <w:sz w:val="22"/>
          <w:szCs w:val="22"/>
        </w:rPr>
        <w:t>point.</w:t>
      </w:r>
    </w:p>
    <w:p w:rsidR="00851A02" w:rsidRDefault="009910CC" w:rsidP="00E62BC4">
      <w:pPr>
        <w:spacing w:before="120" w:after="120" w:line="288" w:lineRule="auto"/>
        <w:rPr>
          <w:rFonts w:ascii="Arial" w:hAnsi="Arial" w:cs="Arial"/>
          <w:sz w:val="22"/>
          <w:szCs w:val="22"/>
        </w:rPr>
      </w:pPr>
      <w:r>
        <w:rPr>
          <w:rFonts w:ascii="Arial" w:hAnsi="Arial" w:cs="Arial"/>
          <w:sz w:val="22"/>
          <w:szCs w:val="22"/>
        </w:rPr>
        <w:t xml:space="preserve">This is going to be the single most contentious aspect of the Government proposals. </w:t>
      </w:r>
      <w:r w:rsidR="000832B1">
        <w:rPr>
          <w:rFonts w:ascii="Arial" w:hAnsi="Arial" w:cs="Arial"/>
          <w:sz w:val="22"/>
          <w:szCs w:val="22"/>
        </w:rPr>
        <w:t>The arguments around common law are looked at in more detail in the paper</w:t>
      </w:r>
      <w:r w:rsidR="00851A02">
        <w:rPr>
          <w:rFonts w:ascii="Arial" w:hAnsi="Arial" w:cs="Arial"/>
          <w:sz w:val="22"/>
          <w:szCs w:val="22"/>
        </w:rPr>
        <w:t xml:space="preserve"> sent to members on 19</w:t>
      </w:r>
      <w:r w:rsidR="00851A02" w:rsidRPr="00851A02">
        <w:rPr>
          <w:rFonts w:ascii="Arial" w:hAnsi="Arial" w:cs="Arial"/>
          <w:sz w:val="22"/>
          <w:szCs w:val="22"/>
          <w:vertAlign w:val="superscript"/>
        </w:rPr>
        <w:t>th</w:t>
      </w:r>
      <w:r w:rsidR="00851A02">
        <w:rPr>
          <w:rFonts w:ascii="Arial" w:hAnsi="Arial" w:cs="Arial"/>
          <w:sz w:val="22"/>
          <w:szCs w:val="22"/>
        </w:rPr>
        <w:t xml:space="preserve"> February 2014</w:t>
      </w:r>
      <w:r w:rsidR="000832B1">
        <w:rPr>
          <w:rFonts w:ascii="Arial" w:hAnsi="Arial" w:cs="Arial"/>
          <w:sz w:val="22"/>
          <w:szCs w:val="22"/>
        </w:rPr>
        <w:t xml:space="preserve">. </w:t>
      </w:r>
    </w:p>
    <w:p w:rsidR="009910CC" w:rsidRDefault="000832B1" w:rsidP="00E62BC4">
      <w:pPr>
        <w:spacing w:before="120" w:after="120" w:line="288" w:lineRule="auto"/>
        <w:rPr>
          <w:rFonts w:ascii="Arial" w:hAnsi="Arial" w:cs="Arial"/>
          <w:sz w:val="22"/>
          <w:szCs w:val="22"/>
        </w:rPr>
      </w:pPr>
      <w:r>
        <w:rPr>
          <w:rFonts w:ascii="Arial" w:hAnsi="Arial" w:cs="Arial"/>
          <w:sz w:val="22"/>
          <w:szCs w:val="22"/>
        </w:rPr>
        <w:t>S</w:t>
      </w:r>
      <w:r w:rsidR="00851A02">
        <w:rPr>
          <w:rFonts w:ascii="Arial" w:hAnsi="Arial" w:cs="Arial"/>
          <w:sz w:val="22"/>
          <w:szCs w:val="22"/>
        </w:rPr>
        <w:t>ISA policy is that</w:t>
      </w:r>
      <w:r>
        <w:rPr>
          <w:rFonts w:ascii="Arial" w:hAnsi="Arial" w:cs="Arial"/>
          <w:sz w:val="22"/>
          <w:szCs w:val="22"/>
        </w:rPr>
        <w:t xml:space="preserve"> there is no compelling case to re-introduce common law and a range of very good reasons not to.</w:t>
      </w:r>
    </w:p>
    <w:p w:rsidR="009910CC" w:rsidRDefault="000832B1" w:rsidP="00E62BC4">
      <w:pPr>
        <w:spacing w:before="120" w:after="120" w:line="288" w:lineRule="auto"/>
        <w:rPr>
          <w:rFonts w:ascii="Arial" w:hAnsi="Arial" w:cs="Arial"/>
          <w:sz w:val="22"/>
          <w:szCs w:val="22"/>
        </w:rPr>
      </w:pPr>
      <w:r>
        <w:rPr>
          <w:rFonts w:ascii="Arial" w:hAnsi="Arial" w:cs="Arial"/>
          <w:b/>
          <w:i/>
          <w:sz w:val="22"/>
          <w:szCs w:val="22"/>
        </w:rPr>
        <w:t>Causation</w:t>
      </w:r>
    </w:p>
    <w:p w:rsidR="000832B1" w:rsidRDefault="000832B1" w:rsidP="00E62BC4">
      <w:pPr>
        <w:spacing w:before="120" w:after="120" w:line="288" w:lineRule="auto"/>
        <w:rPr>
          <w:rFonts w:ascii="Arial" w:hAnsi="Arial" w:cs="Arial"/>
          <w:sz w:val="22"/>
          <w:szCs w:val="22"/>
        </w:rPr>
      </w:pPr>
      <w:r>
        <w:rPr>
          <w:rFonts w:ascii="Arial" w:hAnsi="Arial" w:cs="Arial"/>
          <w:sz w:val="22"/>
          <w:szCs w:val="22"/>
        </w:rPr>
        <w:t>There is insufficient information in the Government paper on which to base a definitive position. However, members have long expressed support for a higher standard of work contribution in the causation tests. This being the case, the best we can do is express in-principle support subject to further and better particulars as to how such changes will be worded.</w:t>
      </w:r>
    </w:p>
    <w:p w:rsidR="000832B1" w:rsidRDefault="000832B1" w:rsidP="00E62BC4">
      <w:pPr>
        <w:spacing w:before="120" w:after="120" w:line="288" w:lineRule="auto"/>
        <w:rPr>
          <w:rFonts w:ascii="Arial" w:hAnsi="Arial" w:cs="Arial"/>
          <w:sz w:val="22"/>
          <w:szCs w:val="22"/>
        </w:rPr>
      </w:pPr>
      <w:r>
        <w:rPr>
          <w:rFonts w:ascii="Arial" w:hAnsi="Arial" w:cs="Arial"/>
          <w:b/>
          <w:i/>
          <w:sz w:val="22"/>
          <w:szCs w:val="22"/>
        </w:rPr>
        <w:t>Removal of the definition of secondary injury</w:t>
      </w:r>
    </w:p>
    <w:p w:rsidR="000832B1" w:rsidRDefault="000832B1" w:rsidP="00E62BC4">
      <w:pPr>
        <w:spacing w:before="120" w:after="120" w:line="288" w:lineRule="auto"/>
        <w:rPr>
          <w:rFonts w:ascii="Arial" w:hAnsi="Arial" w:cs="Arial"/>
          <w:sz w:val="22"/>
          <w:szCs w:val="22"/>
        </w:rPr>
      </w:pPr>
      <w:r>
        <w:rPr>
          <w:rFonts w:ascii="Arial" w:hAnsi="Arial" w:cs="Arial"/>
          <w:sz w:val="22"/>
          <w:szCs w:val="22"/>
        </w:rPr>
        <w:t xml:space="preserve">SISA </w:t>
      </w:r>
      <w:r w:rsidR="00851A02">
        <w:rPr>
          <w:rFonts w:ascii="Arial" w:hAnsi="Arial" w:cs="Arial"/>
          <w:sz w:val="22"/>
          <w:szCs w:val="22"/>
        </w:rPr>
        <w:t>does</w:t>
      </w:r>
      <w:r>
        <w:rPr>
          <w:rFonts w:ascii="Arial" w:hAnsi="Arial" w:cs="Arial"/>
          <w:sz w:val="22"/>
          <w:szCs w:val="22"/>
        </w:rPr>
        <w:t xml:space="preserve"> not express a view on this since it has no effect on our full members</w:t>
      </w:r>
      <w:r w:rsidR="0028252B">
        <w:rPr>
          <w:rFonts w:ascii="Arial" w:hAnsi="Arial" w:cs="Arial"/>
          <w:sz w:val="22"/>
          <w:szCs w:val="22"/>
        </w:rPr>
        <w:t>. Insured employers are likely to be highly concerned if no adjustments are made to the experience rating system to even out the impact.</w:t>
      </w:r>
    </w:p>
    <w:p w:rsidR="0028252B" w:rsidRDefault="0028252B" w:rsidP="00E62BC4">
      <w:pPr>
        <w:spacing w:before="120" w:after="120" w:line="288" w:lineRule="auto"/>
        <w:rPr>
          <w:rFonts w:ascii="Arial" w:hAnsi="Arial" w:cs="Arial"/>
          <w:sz w:val="22"/>
          <w:szCs w:val="22"/>
        </w:rPr>
      </w:pPr>
      <w:r>
        <w:rPr>
          <w:rFonts w:ascii="Arial" w:hAnsi="Arial" w:cs="Arial"/>
          <w:b/>
          <w:i/>
          <w:sz w:val="22"/>
          <w:szCs w:val="22"/>
        </w:rPr>
        <w:lastRenderedPageBreak/>
        <w:t xml:space="preserve">Strengthen employer and employee obligations, early intervention </w:t>
      </w:r>
      <w:proofErr w:type="spellStart"/>
      <w:r>
        <w:rPr>
          <w:rFonts w:ascii="Arial" w:hAnsi="Arial" w:cs="Arial"/>
          <w:b/>
          <w:i/>
          <w:sz w:val="22"/>
          <w:szCs w:val="22"/>
        </w:rPr>
        <w:t>etc</w:t>
      </w:r>
      <w:proofErr w:type="spellEnd"/>
    </w:p>
    <w:p w:rsidR="0028252B" w:rsidRDefault="0028252B" w:rsidP="00E62BC4">
      <w:pPr>
        <w:spacing w:before="120" w:after="120" w:line="288" w:lineRule="auto"/>
        <w:rPr>
          <w:rFonts w:ascii="Arial" w:hAnsi="Arial" w:cs="Arial"/>
          <w:sz w:val="22"/>
          <w:szCs w:val="22"/>
        </w:rPr>
      </w:pPr>
      <w:r>
        <w:rPr>
          <w:rFonts w:ascii="Arial" w:hAnsi="Arial" w:cs="Arial"/>
          <w:sz w:val="22"/>
          <w:szCs w:val="22"/>
        </w:rPr>
        <w:t>Again, there is insufficient information in the Government paper on which to base a definitive position. However, it is clear that any attempt to be more specific on obligations or to regulate the employment relationship is bound to generate a host of unintended consequences and exceptions. This is very much a thing that is easier to say than to do.</w:t>
      </w:r>
    </w:p>
    <w:p w:rsidR="0028252B" w:rsidRDefault="0028252B" w:rsidP="00E62BC4">
      <w:pPr>
        <w:spacing w:before="120" w:after="120" w:line="288" w:lineRule="auto"/>
        <w:rPr>
          <w:rFonts w:ascii="Arial" w:hAnsi="Arial" w:cs="Arial"/>
          <w:sz w:val="22"/>
          <w:szCs w:val="22"/>
        </w:rPr>
      </w:pPr>
      <w:r>
        <w:rPr>
          <w:rFonts w:ascii="Arial" w:hAnsi="Arial" w:cs="Arial"/>
          <w:b/>
          <w:i/>
          <w:sz w:val="22"/>
          <w:szCs w:val="22"/>
        </w:rPr>
        <w:t>Capped income maintenance</w:t>
      </w:r>
    </w:p>
    <w:p w:rsidR="0028252B" w:rsidRDefault="0028252B" w:rsidP="00E62BC4">
      <w:pPr>
        <w:spacing w:before="120" w:after="120" w:line="288" w:lineRule="auto"/>
        <w:rPr>
          <w:rFonts w:ascii="Arial" w:hAnsi="Arial" w:cs="Arial"/>
          <w:sz w:val="22"/>
          <w:szCs w:val="22"/>
        </w:rPr>
      </w:pPr>
      <w:r>
        <w:rPr>
          <w:rFonts w:ascii="Arial" w:hAnsi="Arial" w:cs="Arial"/>
          <w:sz w:val="22"/>
          <w:szCs w:val="22"/>
        </w:rPr>
        <w:t xml:space="preserve">This proposal will account for the lion’s share of the liability savings stemming from the entire package. It should be noted that the Government has publicly stated </w:t>
      </w:r>
      <w:r w:rsidR="00851A02">
        <w:rPr>
          <w:rFonts w:ascii="Arial" w:hAnsi="Arial" w:cs="Arial"/>
          <w:sz w:val="22"/>
          <w:szCs w:val="22"/>
        </w:rPr>
        <w:t xml:space="preserve">that </w:t>
      </w:r>
      <w:r>
        <w:rPr>
          <w:rFonts w:ascii="Arial" w:hAnsi="Arial" w:cs="Arial"/>
          <w:sz w:val="22"/>
          <w:szCs w:val="22"/>
        </w:rPr>
        <w:t>the package will dissolve the unfunded liability in 2 years. The only way this is possible is to apply the 2 year IM cap to existing claims. That is to say, on the day the amendments take effect, all existing IM claims have 2 years of IM left.</w:t>
      </w:r>
    </w:p>
    <w:p w:rsidR="0028252B" w:rsidRDefault="0028252B" w:rsidP="00E62BC4">
      <w:pPr>
        <w:spacing w:before="120" w:after="120" w:line="288" w:lineRule="auto"/>
        <w:rPr>
          <w:rFonts w:ascii="Arial" w:hAnsi="Arial" w:cs="Arial"/>
          <w:sz w:val="22"/>
          <w:szCs w:val="22"/>
        </w:rPr>
      </w:pPr>
      <w:r>
        <w:rPr>
          <w:rFonts w:ascii="Arial" w:hAnsi="Arial" w:cs="Arial"/>
          <w:sz w:val="22"/>
          <w:szCs w:val="22"/>
        </w:rPr>
        <w:t xml:space="preserve">This will </w:t>
      </w:r>
      <w:r w:rsidR="00851A02">
        <w:rPr>
          <w:rFonts w:ascii="Arial" w:hAnsi="Arial" w:cs="Arial"/>
          <w:sz w:val="22"/>
          <w:szCs w:val="22"/>
        </w:rPr>
        <w:t>be the reform that will radically reduce</w:t>
      </w:r>
      <w:r>
        <w:rPr>
          <w:rFonts w:ascii="Arial" w:hAnsi="Arial" w:cs="Arial"/>
          <w:sz w:val="22"/>
          <w:szCs w:val="22"/>
        </w:rPr>
        <w:t xml:space="preserve"> </w:t>
      </w:r>
      <w:r w:rsidR="00851A02">
        <w:rPr>
          <w:rFonts w:ascii="Arial" w:hAnsi="Arial" w:cs="Arial"/>
          <w:sz w:val="22"/>
          <w:szCs w:val="22"/>
        </w:rPr>
        <w:t xml:space="preserve">the </w:t>
      </w:r>
      <w:r>
        <w:rPr>
          <w:rFonts w:ascii="Arial" w:hAnsi="Arial" w:cs="Arial"/>
          <w:sz w:val="22"/>
          <w:szCs w:val="22"/>
        </w:rPr>
        <w:t>current outstanding claims</w:t>
      </w:r>
      <w:r w:rsidR="00851A02">
        <w:rPr>
          <w:rFonts w:ascii="Arial" w:hAnsi="Arial" w:cs="Arial"/>
          <w:sz w:val="22"/>
          <w:szCs w:val="22"/>
        </w:rPr>
        <w:t xml:space="preserve"> liability for the scheme and self insurers alike</w:t>
      </w:r>
      <w:r>
        <w:rPr>
          <w:rFonts w:ascii="Arial" w:hAnsi="Arial" w:cs="Arial"/>
          <w:sz w:val="22"/>
          <w:szCs w:val="22"/>
        </w:rPr>
        <w:t xml:space="preserve">. </w:t>
      </w:r>
      <w:r w:rsidR="00851A02">
        <w:rPr>
          <w:rFonts w:ascii="Arial" w:hAnsi="Arial" w:cs="Arial"/>
          <w:sz w:val="22"/>
          <w:szCs w:val="22"/>
        </w:rPr>
        <w:t>It</w:t>
      </w:r>
      <w:r>
        <w:rPr>
          <w:rFonts w:ascii="Arial" w:hAnsi="Arial" w:cs="Arial"/>
          <w:sz w:val="22"/>
          <w:szCs w:val="22"/>
        </w:rPr>
        <w:t xml:space="preserve"> is clearly the lynchpin of the entire package.</w:t>
      </w:r>
    </w:p>
    <w:p w:rsidR="0028252B" w:rsidRDefault="00DB1D8A" w:rsidP="00E62BC4">
      <w:pPr>
        <w:spacing w:before="120" w:after="120" w:line="288" w:lineRule="auto"/>
        <w:rPr>
          <w:rFonts w:ascii="Arial" w:hAnsi="Arial" w:cs="Arial"/>
          <w:sz w:val="22"/>
          <w:szCs w:val="22"/>
        </w:rPr>
      </w:pPr>
      <w:r w:rsidRPr="00DB1D8A">
        <w:rPr>
          <w:rFonts w:ascii="Arial" w:hAnsi="Arial" w:cs="Arial"/>
          <w:b/>
          <w:i/>
          <w:sz w:val="22"/>
          <w:szCs w:val="22"/>
        </w:rPr>
        <w:t>Medical entitlements to cease 1 year after IM ceases</w:t>
      </w:r>
    </w:p>
    <w:p w:rsidR="00DB1D8A" w:rsidRDefault="00DB1D8A" w:rsidP="00E62BC4">
      <w:pPr>
        <w:spacing w:before="120" w:after="120" w:line="288" w:lineRule="auto"/>
        <w:rPr>
          <w:rFonts w:ascii="Arial" w:hAnsi="Arial" w:cs="Arial"/>
          <w:sz w:val="22"/>
          <w:szCs w:val="22"/>
        </w:rPr>
      </w:pPr>
      <w:r>
        <w:rPr>
          <w:rFonts w:ascii="Arial" w:hAnsi="Arial" w:cs="Arial"/>
          <w:sz w:val="22"/>
          <w:szCs w:val="22"/>
        </w:rPr>
        <w:t>There is no reason to oppose this proposal outright. However, it is likely that there will be a few cases where a full return to work (RTW) is genuinely dependent ongoing treatment and medication. There needs to be a non-appealable discretion for the compensatin</w:t>
      </w:r>
      <w:r w:rsidR="00851A02">
        <w:rPr>
          <w:rFonts w:ascii="Arial" w:hAnsi="Arial" w:cs="Arial"/>
          <w:sz w:val="22"/>
          <w:szCs w:val="22"/>
        </w:rPr>
        <w:t>g</w:t>
      </w:r>
      <w:r>
        <w:rPr>
          <w:rFonts w:ascii="Arial" w:hAnsi="Arial" w:cs="Arial"/>
          <w:sz w:val="22"/>
          <w:szCs w:val="22"/>
        </w:rPr>
        <w:t xml:space="preserve"> authority to continue medical entitlements in these and like circumstances.</w:t>
      </w:r>
    </w:p>
    <w:p w:rsidR="00DB1D8A" w:rsidRDefault="00DB1D8A" w:rsidP="00E62BC4">
      <w:pPr>
        <w:spacing w:before="120" w:after="120" w:line="288" w:lineRule="auto"/>
        <w:rPr>
          <w:rFonts w:ascii="Arial" w:hAnsi="Arial" w:cs="Arial"/>
          <w:sz w:val="22"/>
          <w:szCs w:val="22"/>
        </w:rPr>
      </w:pPr>
      <w:r w:rsidRPr="00DB1D8A">
        <w:rPr>
          <w:rFonts w:ascii="Arial" w:hAnsi="Arial" w:cs="Arial"/>
          <w:b/>
          <w:i/>
          <w:sz w:val="22"/>
          <w:szCs w:val="22"/>
        </w:rPr>
        <w:t>An unspecified ‘new approach’ to dispute resolution.</w:t>
      </w:r>
    </w:p>
    <w:p w:rsidR="00DB1D8A" w:rsidRDefault="00DB1D8A" w:rsidP="00E62BC4">
      <w:pPr>
        <w:spacing w:before="120" w:after="120" w:line="288" w:lineRule="auto"/>
        <w:rPr>
          <w:rFonts w:ascii="Arial" w:hAnsi="Arial" w:cs="Arial"/>
          <w:sz w:val="22"/>
          <w:szCs w:val="22"/>
        </w:rPr>
      </w:pPr>
      <w:r>
        <w:rPr>
          <w:rFonts w:ascii="Arial" w:hAnsi="Arial" w:cs="Arial"/>
          <w:sz w:val="22"/>
          <w:szCs w:val="22"/>
        </w:rPr>
        <w:t>Again, there is insufficient information in the Government paper on which to base a definitive position. That said, it is clear from many discussions with other stakeholders that there is a growing view that the WCT should be dissolved and replaced in the first instance by the new SA Civil Appeals Tribunal (SACAT), with appeals going to the District Court.</w:t>
      </w:r>
    </w:p>
    <w:p w:rsidR="00DB1D8A" w:rsidRDefault="00DB1D8A" w:rsidP="00E62BC4">
      <w:pPr>
        <w:spacing w:before="120" w:after="120" w:line="288" w:lineRule="auto"/>
        <w:rPr>
          <w:rFonts w:ascii="Arial" w:hAnsi="Arial" w:cs="Arial"/>
          <w:sz w:val="22"/>
          <w:szCs w:val="22"/>
        </w:rPr>
      </w:pPr>
      <w:r>
        <w:rPr>
          <w:rFonts w:ascii="Arial" w:hAnsi="Arial" w:cs="Arial"/>
          <w:sz w:val="22"/>
          <w:szCs w:val="22"/>
        </w:rPr>
        <w:t>There is no doubt that the reason why we are discussing these reforms now is the systematic attack</w:t>
      </w:r>
      <w:r w:rsidR="00851A02">
        <w:rPr>
          <w:rFonts w:ascii="Arial" w:hAnsi="Arial" w:cs="Arial"/>
          <w:sz w:val="22"/>
          <w:szCs w:val="22"/>
        </w:rPr>
        <w:t xml:space="preserve"> </w:t>
      </w:r>
      <w:r>
        <w:rPr>
          <w:rFonts w:ascii="Arial" w:hAnsi="Arial" w:cs="Arial"/>
          <w:sz w:val="22"/>
          <w:szCs w:val="22"/>
        </w:rPr>
        <w:t>and undermin</w:t>
      </w:r>
      <w:r w:rsidR="00851A02">
        <w:rPr>
          <w:rFonts w:ascii="Arial" w:hAnsi="Arial" w:cs="Arial"/>
          <w:sz w:val="22"/>
          <w:szCs w:val="22"/>
        </w:rPr>
        <w:t>ing</w:t>
      </w:r>
      <w:r>
        <w:rPr>
          <w:rFonts w:ascii="Arial" w:hAnsi="Arial" w:cs="Arial"/>
          <w:sz w:val="22"/>
          <w:szCs w:val="22"/>
        </w:rPr>
        <w:t xml:space="preserve"> </w:t>
      </w:r>
      <w:r w:rsidR="00851A02">
        <w:rPr>
          <w:rFonts w:ascii="Arial" w:hAnsi="Arial" w:cs="Arial"/>
          <w:sz w:val="22"/>
          <w:szCs w:val="22"/>
        </w:rPr>
        <w:t xml:space="preserve">of </w:t>
      </w:r>
      <w:r>
        <w:rPr>
          <w:rFonts w:ascii="Arial" w:hAnsi="Arial" w:cs="Arial"/>
          <w:sz w:val="22"/>
          <w:szCs w:val="22"/>
        </w:rPr>
        <w:t xml:space="preserve">the work capacity review provisions and destroyed the viability of Medical Panels SA (MPSA). While the root cause of these problems has been badly drafted legislation, the WCT has not hesitated to exploit that and has </w:t>
      </w:r>
      <w:r w:rsidR="00851A02">
        <w:rPr>
          <w:rFonts w:ascii="Arial" w:hAnsi="Arial" w:cs="Arial"/>
          <w:sz w:val="22"/>
          <w:szCs w:val="22"/>
        </w:rPr>
        <w:t>added considerably to the difficulties faced by the scheme</w:t>
      </w:r>
      <w:r>
        <w:rPr>
          <w:rFonts w:ascii="Arial" w:hAnsi="Arial" w:cs="Arial"/>
          <w:sz w:val="22"/>
          <w:szCs w:val="22"/>
        </w:rPr>
        <w:t>.</w:t>
      </w:r>
    </w:p>
    <w:p w:rsidR="004116E8" w:rsidRDefault="004116E8" w:rsidP="00E62BC4">
      <w:pPr>
        <w:spacing w:before="120" w:after="120" w:line="288" w:lineRule="auto"/>
        <w:rPr>
          <w:rFonts w:ascii="Arial" w:hAnsi="Arial" w:cs="Arial"/>
          <w:sz w:val="22"/>
          <w:szCs w:val="22"/>
        </w:rPr>
      </w:pPr>
      <w:r w:rsidRPr="004116E8">
        <w:rPr>
          <w:rFonts w:ascii="Arial" w:hAnsi="Arial" w:cs="Arial"/>
          <w:b/>
          <w:i/>
          <w:sz w:val="22"/>
          <w:szCs w:val="22"/>
        </w:rPr>
        <w:t xml:space="preserve">Replacement of </w:t>
      </w:r>
      <w:r>
        <w:rPr>
          <w:rFonts w:ascii="Arial" w:hAnsi="Arial" w:cs="Arial"/>
          <w:b/>
          <w:i/>
          <w:sz w:val="22"/>
          <w:szCs w:val="22"/>
        </w:rPr>
        <w:t>MPSA</w:t>
      </w:r>
      <w:r w:rsidRPr="004116E8">
        <w:rPr>
          <w:rFonts w:ascii="Arial" w:hAnsi="Arial" w:cs="Arial"/>
          <w:b/>
          <w:i/>
          <w:sz w:val="22"/>
          <w:szCs w:val="22"/>
        </w:rPr>
        <w:t xml:space="preserve"> with Independent Medical Assessors</w:t>
      </w:r>
      <w:r>
        <w:rPr>
          <w:rFonts w:ascii="Arial" w:hAnsi="Arial" w:cs="Arial"/>
          <w:b/>
          <w:i/>
          <w:sz w:val="22"/>
          <w:szCs w:val="22"/>
        </w:rPr>
        <w:t xml:space="preserve"> (IMA)</w:t>
      </w:r>
    </w:p>
    <w:p w:rsidR="004116E8" w:rsidRDefault="004116E8" w:rsidP="00E62BC4">
      <w:pPr>
        <w:spacing w:before="120" w:after="120" w:line="288" w:lineRule="auto"/>
        <w:rPr>
          <w:rFonts w:ascii="Arial" w:hAnsi="Arial" w:cs="Arial"/>
          <w:sz w:val="22"/>
          <w:szCs w:val="22"/>
        </w:rPr>
      </w:pPr>
      <w:r>
        <w:rPr>
          <w:rFonts w:ascii="Arial" w:hAnsi="Arial" w:cs="Arial"/>
          <w:sz w:val="22"/>
          <w:szCs w:val="22"/>
        </w:rPr>
        <w:t xml:space="preserve">There is no doubt that MPSA has been neutered by attacks from the WCT and plaintiff lawyers making unsupported claims about bias and intimidation in the medical panel process. MPSA has never been allowed to function as it was intended. </w:t>
      </w:r>
    </w:p>
    <w:p w:rsidR="004116E8" w:rsidRDefault="004116E8" w:rsidP="00E62BC4">
      <w:pPr>
        <w:spacing w:before="120" w:after="120" w:line="288" w:lineRule="auto"/>
        <w:rPr>
          <w:rFonts w:ascii="Arial" w:hAnsi="Arial" w:cs="Arial"/>
          <w:sz w:val="22"/>
          <w:szCs w:val="22"/>
        </w:rPr>
      </w:pPr>
      <w:r>
        <w:rPr>
          <w:rFonts w:ascii="Arial" w:hAnsi="Arial" w:cs="Arial"/>
          <w:sz w:val="22"/>
          <w:szCs w:val="22"/>
        </w:rPr>
        <w:t>Use of medical panels has many advantages if MPSA was to get laws that allowed such use:</w:t>
      </w:r>
    </w:p>
    <w:p w:rsidR="004116E8" w:rsidRDefault="004116E8" w:rsidP="004116E8">
      <w:pPr>
        <w:pStyle w:val="ListParagraph"/>
        <w:numPr>
          <w:ilvl w:val="0"/>
          <w:numId w:val="4"/>
        </w:numPr>
        <w:spacing w:before="120" w:after="120" w:line="288" w:lineRule="auto"/>
        <w:ind w:left="357" w:hanging="357"/>
        <w:contextualSpacing w:val="0"/>
        <w:rPr>
          <w:rFonts w:ascii="Arial" w:hAnsi="Arial" w:cs="Arial"/>
          <w:sz w:val="22"/>
          <w:szCs w:val="22"/>
        </w:rPr>
      </w:pPr>
      <w:r>
        <w:rPr>
          <w:rFonts w:ascii="Arial" w:hAnsi="Arial" w:cs="Arial"/>
          <w:sz w:val="22"/>
          <w:szCs w:val="22"/>
        </w:rPr>
        <w:t>They are visibly independent and transparent.</w:t>
      </w:r>
    </w:p>
    <w:p w:rsidR="004116E8" w:rsidRDefault="004116E8" w:rsidP="004116E8">
      <w:pPr>
        <w:pStyle w:val="ListParagraph"/>
        <w:numPr>
          <w:ilvl w:val="0"/>
          <w:numId w:val="4"/>
        </w:numPr>
        <w:spacing w:before="120" w:after="120" w:line="288" w:lineRule="auto"/>
        <w:ind w:left="357" w:hanging="357"/>
        <w:contextualSpacing w:val="0"/>
        <w:rPr>
          <w:rFonts w:ascii="Arial" w:hAnsi="Arial" w:cs="Arial"/>
          <w:sz w:val="22"/>
          <w:szCs w:val="22"/>
        </w:rPr>
      </w:pPr>
      <w:r>
        <w:rPr>
          <w:rFonts w:ascii="Arial" w:hAnsi="Arial" w:cs="Arial"/>
          <w:sz w:val="22"/>
          <w:szCs w:val="22"/>
        </w:rPr>
        <w:t>They are multi-disciplinary.</w:t>
      </w:r>
    </w:p>
    <w:p w:rsidR="004116E8" w:rsidRDefault="004116E8" w:rsidP="004116E8">
      <w:pPr>
        <w:pStyle w:val="ListParagraph"/>
        <w:numPr>
          <w:ilvl w:val="0"/>
          <w:numId w:val="4"/>
        </w:numPr>
        <w:spacing w:before="120" w:after="120" w:line="288" w:lineRule="auto"/>
        <w:ind w:left="357" w:hanging="357"/>
        <w:contextualSpacing w:val="0"/>
        <w:rPr>
          <w:rFonts w:ascii="Arial" w:hAnsi="Arial" w:cs="Arial"/>
          <w:sz w:val="22"/>
          <w:szCs w:val="22"/>
        </w:rPr>
      </w:pPr>
      <w:r>
        <w:rPr>
          <w:rFonts w:ascii="Arial" w:hAnsi="Arial" w:cs="Arial"/>
          <w:sz w:val="22"/>
          <w:szCs w:val="22"/>
        </w:rPr>
        <w:t>They can provide opinions in reasonable time frames.</w:t>
      </w:r>
    </w:p>
    <w:p w:rsidR="004116E8" w:rsidRDefault="0007778D" w:rsidP="0007778D">
      <w:pPr>
        <w:pStyle w:val="ListParagraph"/>
        <w:numPr>
          <w:ilvl w:val="0"/>
          <w:numId w:val="4"/>
        </w:numPr>
        <w:spacing w:before="120" w:after="120" w:line="288" w:lineRule="auto"/>
        <w:ind w:left="357" w:hanging="357"/>
        <w:contextualSpacing w:val="0"/>
        <w:rPr>
          <w:rFonts w:ascii="Arial" w:hAnsi="Arial" w:cs="Arial"/>
          <w:sz w:val="22"/>
          <w:szCs w:val="22"/>
        </w:rPr>
      </w:pPr>
      <w:r>
        <w:rPr>
          <w:rFonts w:ascii="Arial" w:hAnsi="Arial" w:cs="Arial"/>
          <w:sz w:val="22"/>
          <w:szCs w:val="22"/>
        </w:rPr>
        <w:t>They are cost-effective.</w:t>
      </w:r>
    </w:p>
    <w:p w:rsidR="0007778D" w:rsidRDefault="0007778D" w:rsidP="0007778D">
      <w:pPr>
        <w:pStyle w:val="ListParagraph"/>
        <w:numPr>
          <w:ilvl w:val="0"/>
          <w:numId w:val="4"/>
        </w:numPr>
        <w:spacing w:before="120" w:after="120" w:line="288" w:lineRule="auto"/>
        <w:ind w:left="357" w:hanging="357"/>
        <w:contextualSpacing w:val="0"/>
        <w:rPr>
          <w:rFonts w:ascii="Arial" w:hAnsi="Arial" w:cs="Arial"/>
          <w:sz w:val="22"/>
          <w:szCs w:val="22"/>
        </w:rPr>
      </w:pPr>
      <w:r>
        <w:rPr>
          <w:rFonts w:ascii="Arial" w:hAnsi="Arial" w:cs="Arial"/>
          <w:sz w:val="22"/>
          <w:szCs w:val="22"/>
        </w:rPr>
        <w:t>They treat workers with respect and dignity.</w:t>
      </w:r>
    </w:p>
    <w:p w:rsidR="0007778D" w:rsidRDefault="0007778D" w:rsidP="0007778D">
      <w:pPr>
        <w:spacing w:before="120" w:after="120" w:line="288" w:lineRule="auto"/>
        <w:rPr>
          <w:rFonts w:ascii="Arial" w:hAnsi="Arial" w:cs="Arial"/>
          <w:sz w:val="22"/>
          <w:szCs w:val="22"/>
        </w:rPr>
      </w:pPr>
      <w:r>
        <w:rPr>
          <w:rFonts w:ascii="Arial" w:hAnsi="Arial" w:cs="Arial"/>
          <w:sz w:val="22"/>
          <w:szCs w:val="22"/>
        </w:rPr>
        <w:lastRenderedPageBreak/>
        <w:t>Going back to IMAs would be a step backwards in time – a return to duelling experts, barrackers and mounting costs and delay, (and of course a return of lawyers and judges to the process of resolving medical questions).</w:t>
      </w:r>
    </w:p>
    <w:p w:rsidR="0007778D" w:rsidRDefault="00851A02" w:rsidP="0007778D">
      <w:pPr>
        <w:spacing w:before="120" w:after="120" w:line="288" w:lineRule="auto"/>
        <w:rPr>
          <w:rFonts w:ascii="Arial" w:hAnsi="Arial" w:cs="Arial"/>
          <w:sz w:val="22"/>
          <w:szCs w:val="22"/>
        </w:rPr>
      </w:pPr>
      <w:r>
        <w:rPr>
          <w:rFonts w:ascii="Arial" w:hAnsi="Arial" w:cs="Arial"/>
          <w:sz w:val="22"/>
          <w:szCs w:val="22"/>
        </w:rPr>
        <w:t>SISA policy is</w:t>
      </w:r>
      <w:r w:rsidR="0007778D">
        <w:rPr>
          <w:rFonts w:ascii="Arial" w:hAnsi="Arial" w:cs="Arial"/>
          <w:sz w:val="22"/>
          <w:szCs w:val="22"/>
        </w:rPr>
        <w:t xml:space="preserve"> to retain MPSA with less brittle legislation.</w:t>
      </w:r>
    </w:p>
    <w:p w:rsidR="0007778D" w:rsidRDefault="0007778D" w:rsidP="0007778D">
      <w:pPr>
        <w:spacing w:before="120" w:after="120" w:line="288" w:lineRule="auto"/>
        <w:rPr>
          <w:rFonts w:ascii="Arial" w:hAnsi="Arial" w:cs="Arial"/>
          <w:sz w:val="22"/>
          <w:szCs w:val="22"/>
        </w:rPr>
      </w:pPr>
      <w:r>
        <w:rPr>
          <w:rFonts w:ascii="Arial" w:hAnsi="Arial" w:cs="Arial"/>
          <w:b/>
          <w:i/>
          <w:sz w:val="22"/>
          <w:szCs w:val="22"/>
        </w:rPr>
        <w:t>Recommendations</w:t>
      </w:r>
    </w:p>
    <w:p w:rsidR="0007778D" w:rsidRDefault="0007778D" w:rsidP="0007778D">
      <w:pPr>
        <w:spacing w:before="120" w:after="120" w:line="288" w:lineRule="auto"/>
        <w:rPr>
          <w:rFonts w:ascii="Arial" w:hAnsi="Arial" w:cs="Arial"/>
          <w:sz w:val="22"/>
          <w:szCs w:val="22"/>
        </w:rPr>
      </w:pPr>
      <w:r>
        <w:rPr>
          <w:rFonts w:ascii="Arial" w:hAnsi="Arial" w:cs="Arial"/>
          <w:sz w:val="22"/>
          <w:szCs w:val="22"/>
        </w:rPr>
        <w:t xml:space="preserve">That the following policy position be put to members for </w:t>
      </w:r>
      <w:r w:rsidR="00FF7141">
        <w:rPr>
          <w:rFonts w:ascii="Arial" w:hAnsi="Arial" w:cs="Arial"/>
          <w:sz w:val="22"/>
          <w:szCs w:val="22"/>
        </w:rPr>
        <w:t xml:space="preserve">discussion and/or </w:t>
      </w:r>
      <w:r>
        <w:rPr>
          <w:rFonts w:ascii="Arial" w:hAnsi="Arial" w:cs="Arial"/>
          <w:sz w:val="22"/>
          <w:szCs w:val="22"/>
        </w:rPr>
        <w:t>endorsement</w:t>
      </w:r>
      <w:r w:rsidR="00AA76DF">
        <w:rPr>
          <w:rFonts w:ascii="Arial" w:hAnsi="Arial" w:cs="Arial"/>
          <w:sz w:val="22"/>
          <w:szCs w:val="22"/>
        </w:rPr>
        <w:t>:</w:t>
      </w:r>
    </w:p>
    <w:tbl>
      <w:tblPr>
        <w:tblStyle w:val="TableGrid"/>
        <w:tblW w:w="0" w:type="auto"/>
        <w:tblLook w:val="04A0" w:firstRow="1" w:lastRow="0" w:firstColumn="1" w:lastColumn="0" w:noHBand="0" w:noVBand="1"/>
      </w:tblPr>
      <w:tblGrid>
        <w:gridCol w:w="4508"/>
        <w:gridCol w:w="4508"/>
      </w:tblGrid>
      <w:tr w:rsidR="00AA76DF" w:rsidTr="00AA76DF">
        <w:tc>
          <w:tcPr>
            <w:tcW w:w="4508" w:type="dxa"/>
            <w:vAlign w:val="center"/>
          </w:tcPr>
          <w:p w:rsidR="00AA76DF" w:rsidRPr="00AA76DF" w:rsidRDefault="00AA76DF" w:rsidP="00AA76DF">
            <w:pPr>
              <w:spacing w:before="120" w:after="120" w:line="288" w:lineRule="auto"/>
              <w:rPr>
                <w:rFonts w:ascii="Arial" w:hAnsi="Arial" w:cs="Arial"/>
                <w:sz w:val="22"/>
                <w:szCs w:val="22"/>
              </w:rPr>
            </w:pPr>
            <w:r w:rsidRPr="00AA76DF">
              <w:rPr>
                <w:rFonts w:ascii="Arial" w:hAnsi="Arial" w:cs="Arial"/>
                <w:sz w:val="22"/>
                <w:szCs w:val="22"/>
              </w:rPr>
              <w:t>Seriously injured workers</w:t>
            </w:r>
          </w:p>
        </w:tc>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No position until more detail as to the proposed threshold and entitlements becomes publicly available.</w:t>
            </w:r>
          </w:p>
        </w:tc>
      </w:tr>
      <w:tr w:rsidR="00AA76DF" w:rsidTr="00AA76DF">
        <w:tc>
          <w:tcPr>
            <w:tcW w:w="4508" w:type="dxa"/>
            <w:vAlign w:val="center"/>
          </w:tcPr>
          <w:p w:rsidR="00AA76DF" w:rsidRPr="00AA76DF" w:rsidRDefault="00AA76DF" w:rsidP="00AA76DF">
            <w:pPr>
              <w:spacing w:before="120" w:after="120" w:line="288" w:lineRule="auto"/>
              <w:rPr>
                <w:rFonts w:ascii="Arial" w:hAnsi="Arial" w:cs="Arial"/>
                <w:sz w:val="22"/>
                <w:szCs w:val="22"/>
              </w:rPr>
            </w:pPr>
            <w:r w:rsidRPr="00AA76DF">
              <w:rPr>
                <w:rFonts w:ascii="Arial" w:hAnsi="Arial" w:cs="Arial"/>
                <w:sz w:val="22"/>
                <w:szCs w:val="22"/>
              </w:rPr>
              <w:t>Common law</w:t>
            </w:r>
          </w:p>
        </w:tc>
        <w:tc>
          <w:tcPr>
            <w:tcW w:w="4508" w:type="dxa"/>
            <w:vAlign w:val="center"/>
          </w:tcPr>
          <w:p w:rsidR="00AA76DF" w:rsidRDefault="00AA76DF" w:rsidP="00851A02">
            <w:pPr>
              <w:spacing w:before="120" w:after="120" w:line="288" w:lineRule="auto"/>
              <w:rPr>
                <w:rFonts w:ascii="Arial" w:hAnsi="Arial" w:cs="Arial"/>
                <w:sz w:val="22"/>
                <w:szCs w:val="22"/>
              </w:rPr>
            </w:pPr>
            <w:r>
              <w:rPr>
                <w:rFonts w:ascii="Arial" w:hAnsi="Arial" w:cs="Arial"/>
                <w:sz w:val="22"/>
                <w:szCs w:val="22"/>
              </w:rPr>
              <w:t>Oppose the re-introduction of common law in any form</w:t>
            </w:r>
            <w:r w:rsidR="00FF7141">
              <w:rPr>
                <w:rFonts w:ascii="Arial" w:hAnsi="Arial" w:cs="Arial"/>
                <w:sz w:val="22"/>
                <w:szCs w:val="22"/>
              </w:rPr>
              <w:t xml:space="preserve">. In the alternate, </w:t>
            </w:r>
            <w:r w:rsidR="00851A02">
              <w:rPr>
                <w:rFonts w:ascii="Arial" w:hAnsi="Arial" w:cs="Arial"/>
                <w:sz w:val="22"/>
                <w:szCs w:val="22"/>
              </w:rPr>
              <w:t xml:space="preserve">heads of damage </w:t>
            </w:r>
            <w:r w:rsidR="00FF7141">
              <w:rPr>
                <w:rFonts w:ascii="Arial" w:hAnsi="Arial" w:cs="Arial"/>
                <w:sz w:val="22"/>
                <w:szCs w:val="22"/>
              </w:rPr>
              <w:t xml:space="preserve">should be limited, </w:t>
            </w:r>
            <w:r w:rsidR="00851A02">
              <w:rPr>
                <w:rFonts w:ascii="Arial" w:hAnsi="Arial" w:cs="Arial"/>
                <w:sz w:val="22"/>
                <w:szCs w:val="22"/>
              </w:rPr>
              <w:t xml:space="preserve">quantum </w:t>
            </w:r>
            <w:r w:rsidR="00FF7141">
              <w:rPr>
                <w:rFonts w:ascii="Arial" w:hAnsi="Arial" w:cs="Arial"/>
                <w:sz w:val="22"/>
                <w:szCs w:val="22"/>
              </w:rPr>
              <w:t>capped and offset against statutory payments.</w:t>
            </w:r>
          </w:p>
        </w:tc>
      </w:tr>
      <w:tr w:rsidR="00AA76DF" w:rsidTr="00AA76DF">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Causation</w:t>
            </w:r>
          </w:p>
        </w:tc>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Agree in principle subject to further and better particulars as to how such changes will be worded.</w:t>
            </w:r>
          </w:p>
        </w:tc>
      </w:tr>
      <w:tr w:rsidR="00AA76DF" w:rsidTr="00AA76DF">
        <w:tc>
          <w:tcPr>
            <w:tcW w:w="4508" w:type="dxa"/>
            <w:vAlign w:val="center"/>
          </w:tcPr>
          <w:p w:rsidR="00AA76DF" w:rsidRPr="00AA76DF" w:rsidRDefault="00AA76DF" w:rsidP="00AA76DF">
            <w:pPr>
              <w:spacing w:before="120" w:after="120" w:line="288" w:lineRule="auto"/>
              <w:rPr>
                <w:rFonts w:ascii="Arial" w:hAnsi="Arial" w:cs="Arial"/>
                <w:sz w:val="22"/>
                <w:szCs w:val="22"/>
              </w:rPr>
            </w:pPr>
            <w:r w:rsidRPr="00AA76DF">
              <w:rPr>
                <w:rFonts w:ascii="Arial" w:hAnsi="Arial" w:cs="Arial"/>
                <w:sz w:val="22"/>
                <w:szCs w:val="22"/>
              </w:rPr>
              <w:t>Removal of the definition of secondary injury</w:t>
            </w:r>
          </w:p>
        </w:tc>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No position – does not affect full members.</w:t>
            </w:r>
          </w:p>
        </w:tc>
      </w:tr>
      <w:tr w:rsidR="00AA76DF" w:rsidTr="00AA76DF">
        <w:tc>
          <w:tcPr>
            <w:tcW w:w="4508" w:type="dxa"/>
            <w:vAlign w:val="center"/>
          </w:tcPr>
          <w:p w:rsidR="00AA76DF" w:rsidRDefault="00AA76DF" w:rsidP="00AA76DF">
            <w:pPr>
              <w:spacing w:before="120" w:after="120" w:line="288" w:lineRule="auto"/>
              <w:rPr>
                <w:rFonts w:ascii="Arial" w:hAnsi="Arial" w:cs="Arial"/>
                <w:sz w:val="22"/>
                <w:szCs w:val="22"/>
              </w:rPr>
            </w:pPr>
            <w:r w:rsidRPr="00AA76DF">
              <w:rPr>
                <w:rFonts w:ascii="Arial" w:hAnsi="Arial" w:cs="Arial"/>
                <w:sz w:val="22"/>
                <w:szCs w:val="22"/>
              </w:rPr>
              <w:t xml:space="preserve">Strengthen employer and employee obligations, early intervention </w:t>
            </w:r>
            <w:proofErr w:type="spellStart"/>
            <w:r w:rsidRPr="00AA76DF">
              <w:rPr>
                <w:rFonts w:ascii="Arial" w:hAnsi="Arial" w:cs="Arial"/>
                <w:sz w:val="22"/>
                <w:szCs w:val="22"/>
              </w:rPr>
              <w:t>etc</w:t>
            </w:r>
            <w:proofErr w:type="spellEnd"/>
          </w:p>
        </w:tc>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No position until more detail is available, with the observation that this has the potential to create a host of unintended consequences</w:t>
            </w:r>
          </w:p>
        </w:tc>
      </w:tr>
      <w:tr w:rsidR="00AA76DF" w:rsidTr="00AA76DF">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Capped income maintenance</w:t>
            </w:r>
          </w:p>
        </w:tc>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Agree in principle subject to further and better particulars as to how such changes will be worded.</w:t>
            </w:r>
          </w:p>
        </w:tc>
      </w:tr>
      <w:tr w:rsidR="00AA76DF" w:rsidTr="00AA76DF">
        <w:tc>
          <w:tcPr>
            <w:tcW w:w="4508" w:type="dxa"/>
            <w:vAlign w:val="center"/>
          </w:tcPr>
          <w:p w:rsidR="00AA76DF" w:rsidRPr="00AA76DF" w:rsidRDefault="00AA76DF" w:rsidP="00AA76DF">
            <w:pPr>
              <w:spacing w:before="120" w:after="120" w:line="288" w:lineRule="auto"/>
              <w:rPr>
                <w:rFonts w:ascii="Arial" w:hAnsi="Arial" w:cs="Arial"/>
                <w:sz w:val="22"/>
                <w:szCs w:val="22"/>
              </w:rPr>
            </w:pPr>
            <w:r w:rsidRPr="00AA76DF">
              <w:rPr>
                <w:rFonts w:ascii="Arial" w:hAnsi="Arial" w:cs="Arial"/>
                <w:sz w:val="22"/>
                <w:szCs w:val="22"/>
              </w:rPr>
              <w:t>Medical entitlements to cease 1 year after IM ceases</w:t>
            </w:r>
          </w:p>
        </w:tc>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Agree in principle subject to a non-appealable discretion to continue entitlements in appropriate cases.</w:t>
            </w:r>
          </w:p>
        </w:tc>
      </w:tr>
      <w:tr w:rsidR="00AA76DF" w:rsidTr="00AA76DF">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Dispute resolution</w:t>
            </w:r>
          </w:p>
        </w:tc>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Insufficient information on which to base an opinion. The WCT should be scrapped and replaced by the SACAT and District Court.</w:t>
            </w:r>
          </w:p>
        </w:tc>
      </w:tr>
      <w:tr w:rsidR="00AA76DF" w:rsidTr="00AA76DF">
        <w:tc>
          <w:tcPr>
            <w:tcW w:w="4508" w:type="dxa"/>
            <w:vAlign w:val="center"/>
          </w:tcPr>
          <w:p w:rsidR="00AA76DF" w:rsidRPr="00AA76DF" w:rsidRDefault="00AA76DF" w:rsidP="00AA76DF">
            <w:pPr>
              <w:spacing w:before="120" w:after="120" w:line="288" w:lineRule="auto"/>
              <w:rPr>
                <w:rFonts w:ascii="Arial" w:hAnsi="Arial" w:cs="Arial"/>
                <w:sz w:val="22"/>
                <w:szCs w:val="22"/>
              </w:rPr>
            </w:pPr>
            <w:r w:rsidRPr="00AA76DF">
              <w:rPr>
                <w:rFonts w:ascii="Arial" w:hAnsi="Arial" w:cs="Arial"/>
                <w:sz w:val="22"/>
                <w:szCs w:val="22"/>
              </w:rPr>
              <w:t xml:space="preserve">Replacement of MPSA with </w:t>
            </w:r>
            <w:r>
              <w:rPr>
                <w:rFonts w:ascii="Arial" w:hAnsi="Arial" w:cs="Arial"/>
                <w:sz w:val="22"/>
                <w:szCs w:val="22"/>
              </w:rPr>
              <w:t xml:space="preserve">an </w:t>
            </w:r>
            <w:r w:rsidRPr="00AA76DF">
              <w:rPr>
                <w:rFonts w:ascii="Arial" w:hAnsi="Arial" w:cs="Arial"/>
                <w:sz w:val="22"/>
                <w:szCs w:val="22"/>
              </w:rPr>
              <w:t>IMA</w:t>
            </w:r>
            <w:r>
              <w:rPr>
                <w:rFonts w:ascii="Arial" w:hAnsi="Arial" w:cs="Arial"/>
                <w:sz w:val="22"/>
                <w:szCs w:val="22"/>
              </w:rPr>
              <w:t xml:space="preserve"> panel</w:t>
            </w:r>
          </w:p>
        </w:tc>
        <w:tc>
          <w:tcPr>
            <w:tcW w:w="4508" w:type="dxa"/>
            <w:vAlign w:val="center"/>
          </w:tcPr>
          <w:p w:rsidR="00AA76DF" w:rsidRDefault="00AA76DF" w:rsidP="00AA76DF">
            <w:pPr>
              <w:spacing w:before="120" w:after="120" w:line="288" w:lineRule="auto"/>
              <w:rPr>
                <w:rFonts w:ascii="Arial" w:hAnsi="Arial" w:cs="Arial"/>
                <w:sz w:val="22"/>
                <w:szCs w:val="22"/>
              </w:rPr>
            </w:pPr>
            <w:r>
              <w:rPr>
                <w:rFonts w:ascii="Arial" w:hAnsi="Arial" w:cs="Arial"/>
                <w:sz w:val="22"/>
                <w:szCs w:val="22"/>
              </w:rPr>
              <w:t>Oppose – retain MPSA with less brittle legislation</w:t>
            </w:r>
          </w:p>
        </w:tc>
      </w:tr>
      <w:tr w:rsidR="00AA76DF" w:rsidTr="00FF7141">
        <w:tc>
          <w:tcPr>
            <w:tcW w:w="4508" w:type="dxa"/>
            <w:vAlign w:val="center"/>
          </w:tcPr>
          <w:p w:rsidR="00AA76DF" w:rsidRDefault="00FF7141" w:rsidP="00FF7141">
            <w:pPr>
              <w:spacing w:before="120" w:after="120" w:line="288" w:lineRule="auto"/>
              <w:rPr>
                <w:rFonts w:ascii="Arial" w:hAnsi="Arial" w:cs="Arial"/>
                <w:sz w:val="22"/>
                <w:szCs w:val="22"/>
              </w:rPr>
            </w:pPr>
            <w:r>
              <w:rPr>
                <w:rFonts w:ascii="Arial" w:hAnsi="Arial" w:cs="Arial"/>
                <w:sz w:val="22"/>
                <w:szCs w:val="22"/>
              </w:rPr>
              <w:t>Overall</w:t>
            </w:r>
          </w:p>
        </w:tc>
        <w:tc>
          <w:tcPr>
            <w:tcW w:w="4508" w:type="dxa"/>
            <w:vAlign w:val="center"/>
          </w:tcPr>
          <w:p w:rsidR="00AA76DF" w:rsidRDefault="00FF7141" w:rsidP="00FF7141">
            <w:pPr>
              <w:pStyle w:val="ListParagraph"/>
              <w:numPr>
                <w:ilvl w:val="0"/>
                <w:numId w:val="5"/>
              </w:numPr>
              <w:spacing w:before="120" w:after="120" w:line="288" w:lineRule="auto"/>
              <w:rPr>
                <w:rFonts w:ascii="Arial" w:hAnsi="Arial" w:cs="Arial"/>
                <w:sz w:val="22"/>
                <w:szCs w:val="22"/>
              </w:rPr>
            </w:pPr>
            <w:r>
              <w:rPr>
                <w:rFonts w:ascii="Arial" w:hAnsi="Arial" w:cs="Arial"/>
                <w:sz w:val="22"/>
                <w:szCs w:val="22"/>
              </w:rPr>
              <w:t>Do not rush it</w:t>
            </w:r>
          </w:p>
          <w:p w:rsidR="00FF7141" w:rsidRDefault="00FF7141" w:rsidP="00FF7141">
            <w:pPr>
              <w:pStyle w:val="ListParagraph"/>
              <w:numPr>
                <w:ilvl w:val="0"/>
                <w:numId w:val="5"/>
              </w:numPr>
              <w:spacing w:before="120" w:after="120" w:line="288" w:lineRule="auto"/>
              <w:rPr>
                <w:rFonts w:ascii="Arial" w:hAnsi="Arial" w:cs="Arial"/>
                <w:sz w:val="22"/>
                <w:szCs w:val="22"/>
              </w:rPr>
            </w:pPr>
            <w:r>
              <w:rPr>
                <w:rFonts w:ascii="Arial" w:hAnsi="Arial" w:cs="Arial"/>
                <w:sz w:val="22"/>
                <w:szCs w:val="22"/>
              </w:rPr>
              <w:t>Look at the entire Act, not elements in isolation.</w:t>
            </w:r>
          </w:p>
          <w:p w:rsidR="00FF7141" w:rsidRDefault="00FF7141" w:rsidP="00FF7141">
            <w:pPr>
              <w:pStyle w:val="ListParagraph"/>
              <w:numPr>
                <w:ilvl w:val="0"/>
                <w:numId w:val="5"/>
              </w:numPr>
              <w:spacing w:before="120" w:after="120" w:line="288" w:lineRule="auto"/>
              <w:rPr>
                <w:rFonts w:ascii="Arial" w:hAnsi="Arial" w:cs="Arial"/>
                <w:sz w:val="22"/>
                <w:szCs w:val="22"/>
              </w:rPr>
            </w:pPr>
            <w:r>
              <w:rPr>
                <w:rFonts w:ascii="Arial" w:hAnsi="Arial" w:cs="Arial"/>
                <w:sz w:val="22"/>
                <w:szCs w:val="22"/>
              </w:rPr>
              <w:lastRenderedPageBreak/>
              <w:t>No cut-and-paste amendments.</w:t>
            </w:r>
          </w:p>
          <w:p w:rsidR="00FF7141" w:rsidRPr="00FF7141" w:rsidRDefault="00FF7141" w:rsidP="00FF7141">
            <w:pPr>
              <w:pStyle w:val="ListParagraph"/>
              <w:numPr>
                <w:ilvl w:val="0"/>
                <w:numId w:val="5"/>
              </w:numPr>
              <w:spacing w:before="120" w:after="120" w:line="288" w:lineRule="auto"/>
              <w:rPr>
                <w:rFonts w:ascii="Arial" w:hAnsi="Arial" w:cs="Arial"/>
                <w:sz w:val="22"/>
                <w:szCs w:val="22"/>
              </w:rPr>
            </w:pPr>
            <w:r>
              <w:rPr>
                <w:rFonts w:ascii="Arial" w:hAnsi="Arial" w:cs="Arial"/>
                <w:sz w:val="22"/>
                <w:szCs w:val="22"/>
              </w:rPr>
              <w:t xml:space="preserve">Negotiate and agree </w:t>
            </w:r>
            <w:r w:rsidRPr="00FF7141">
              <w:rPr>
                <w:rFonts w:ascii="Arial" w:hAnsi="Arial" w:cs="Arial"/>
                <w:i/>
                <w:sz w:val="22"/>
                <w:szCs w:val="22"/>
              </w:rPr>
              <w:t xml:space="preserve">before </w:t>
            </w:r>
            <w:r>
              <w:rPr>
                <w:rFonts w:ascii="Arial" w:hAnsi="Arial" w:cs="Arial"/>
                <w:sz w:val="22"/>
                <w:szCs w:val="22"/>
              </w:rPr>
              <w:t>going into Parliament on a bi-partisan basis.</w:t>
            </w:r>
          </w:p>
        </w:tc>
      </w:tr>
      <w:tr w:rsidR="00FF7141" w:rsidTr="00FF7141">
        <w:tc>
          <w:tcPr>
            <w:tcW w:w="4508" w:type="dxa"/>
            <w:vAlign w:val="center"/>
          </w:tcPr>
          <w:p w:rsidR="00FF7141" w:rsidRDefault="00FF7141" w:rsidP="00FF7141">
            <w:pPr>
              <w:spacing w:before="120" w:after="120" w:line="288" w:lineRule="auto"/>
              <w:rPr>
                <w:rFonts w:ascii="Arial" w:hAnsi="Arial" w:cs="Arial"/>
                <w:sz w:val="22"/>
                <w:szCs w:val="22"/>
              </w:rPr>
            </w:pPr>
            <w:r>
              <w:rPr>
                <w:rFonts w:ascii="Arial" w:hAnsi="Arial" w:cs="Arial"/>
                <w:sz w:val="22"/>
                <w:szCs w:val="22"/>
              </w:rPr>
              <w:lastRenderedPageBreak/>
              <w:t>Other items not covered in the Government paper</w:t>
            </w:r>
          </w:p>
        </w:tc>
        <w:tc>
          <w:tcPr>
            <w:tcW w:w="4508" w:type="dxa"/>
            <w:vAlign w:val="center"/>
          </w:tcPr>
          <w:p w:rsidR="00FF7141" w:rsidRDefault="00FF7141" w:rsidP="00FF7141">
            <w:pPr>
              <w:pStyle w:val="ListParagraph"/>
              <w:numPr>
                <w:ilvl w:val="0"/>
                <w:numId w:val="5"/>
              </w:numPr>
              <w:spacing w:before="120" w:after="120" w:line="288" w:lineRule="auto"/>
              <w:rPr>
                <w:rFonts w:ascii="Arial" w:hAnsi="Arial" w:cs="Arial"/>
                <w:sz w:val="22"/>
                <w:szCs w:val="22"/>
              </w:rPr>
            </w:pPr>
            <w:r>
              <w:rPr>
                <w:rFonts w:ascii="Arial" w:hAnsi="Arial" w:cs="Arial"/>
                <w:sz w:val="22"/>
                <w:szCs w:val="22"/>
              </w:rPr>
              <w:t>Repeal provisional liability</w:t>
            </w:r>
          </w:p>
          <w:p w:rsidR="00851A02" w:rsidRDefault="00851A02" w:rsidP="00FF7141">
            <w:pPr>
              <w:pStyle w:val="ListParagraph"/>
              <w:numPr>
                <w:ilvl w:val="0"/>
                <w:numId w:val="5"/>
              </w:numPr>
              <w:spacing w:before="120" w:after="120" w:line="288" w:lineRule="auto"/>
              <w:rPr>
                <w:rFonts w:ascii="Arial" w:hAnsi="Arial" w:cs="Arial"/>
                <w:sz w:val="22"/>
                <w:szCs w:val="22"/>
              </w:rPr>
            </w:pPr>
            <w:r>
              <w:rPr>
                <w:rFonts w:ascii="Arial" w:hAnsi="Arial" w:cs="Arial"/>
                <w:sz w:val="22"/>
                <w:szCs w:val="22"/>
              </w:rPr>
              <w:t>Longer registration periods for self insurers</w:t>
            </w:r>
          </w:p>
          <w:p w:rsidR="00FF7141" w:rsidRDefault="00FF7141" w:rsidP="00FF7141">
            <w:pPr>
              <w:pStyle w:val="ListParagraph"/>
              <w:numPr>
                <w:ilvl w:val="0"/>
                <w:numId w:val="5"/>
              </w:numPr>
              <w:spacing w:before="120" w:after="120" w:line="288" w:lineRule="auto"/>
              <w:rPr>
                <w:rFonts w:ascii="Arial" w:hAnsi="Arial" w:cs="Arial"/>
                <w:sz w:val="22"/>
                <w:szCs w:val="22"/>
              </w:rPr>
            </w:pPr>
            <w:r>
              <w:rPr>
                <w:rFonts w:ascii="Arial" w:hAnsi="Arial" w:cs="Arial"/>
                <w:sz w:val="22"/>
                <w:szCs w:val="22"/>
              </w:rPr>
              <w:t>Repeal section 76AA (discontinuance fees)</w:t>
            </w:r>
          </w:p>
          <w:p w:rsidR="004461BB" w:rsidRDefault="004461BB" w:rsidP="00FF7141">
            <w:pPr>
              <w:pStyle w:val="ListParagraph"/>
              <w:numPr>
                <w:ilvl w:val="0"/>
                <w:numId w:val="5"/>
              </w:numPr>
              <w:spacing w:before="120" w:after="120" w:line="288" w:lineRule="auto"/>
              <w:rPr>
                <w:rFonts w:ascii="Arial" w:hAnsi="Arial" w:cs="Arial"/>
                <w:sz w:val="22"/>
                <w:szCs w:val="22"/>
              </w:rPr>
            </w:pPr>
            <w:r>
              <w:rPr>
                <w:rFonts w:ascii="Arial" w:hAnsi="Arial" w:cs="Arial"/>
                <w:sz w:val="22"/>
                <w:szCs w:val="22"/>
              </w:rPr>
              <w:t>Exempt self insurers from s.28D</w:t>
            </w:r>
            <w:bookmarkStart w:id="0" w:name="_GoBack"/>
            <w:bookmarkEnd w:id="0"/>
          </w:p>
        </w:tc>
      </w:tr>
    </w:tbl>
    <w:p w:rsidR="00AA76DF" w:rsidRPr="0007778D" w:rsidRDefault="00AA76DF" w:rsidP="0007778D">
      <w:pPr>
        <w:spacing w:before="120" w:after="120" w:line="288" w:lineRule="auto"/>
        <w:rPr>
          <w:rFonts w:ascii="Arial" w:hAnsi="Arial" w:cs="Arial"/>
          <w:sz w:val="22"/>
          <w:szCs w:val="22"/>
        </w:rPr>
      </w:pPr>
    </w:p>
    <w:p w:rsidR="00A31B9D" w:rsidRDefault="00354E29" w:rsidP="00E62BC4">
      <w:pPr>
        <w:rPr>
          <w:rFonts w:ascii="Arial" w:hAnsi="Arial" w:cs="Arial"/>
          <w:sz w:val="22"/>
          <w:szCs w:val="22"/>
        </w:rPr>
      </w:pPr>
      <w:r w:rsidRPr="00177BE7">
        <w:rPr>
          <w:noProof/>
          <w:sz w:val="22"/>
          <w:szCs w:val="22"/>
        </w:rPr>
        <w:drawing>
          <wp:inline distT="0" distB="0" distL="0" distR="0">
            <wp:extent cx="1200150" cy="1028700"/>
            <wp:effectExtent l="0" t="0" r="0" b="0"/>
            <wp:docPr id="2" name="Picture 0" descr="Robin Sh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obin Sha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28700"/>
                    </a:xfrm>
                    <a:prstGeom prst="rect">
                      <a:avLst/>
                    </a:prstGeom>
                    <a:noFill/>
                    <a:ln>
                      <a:noFill/>
                    </a:ln>
                  </pic:spPr>
                </pic:pic>
              </a:graphicData>
            </a:graphic>
          </wp:inline>
        </w:drawing>
      </w:r>
    </w:p>
    <w:p w:rsidR="00E62BC4" w:rsidRDefault="00A31B9D" w:rsidP="00E62BC4">
      <w:pPr>
        <w:rPr>
          <w:rFonts w:ascii="Arial" w:hAnsi="Arial" w:cs="Arial"/>
          <w:sz w:val="22"/>
          <w:szCs w:val="22"/>
        </w:rPr>
      </w:pPr>
      <w:r>
        <w:rPr>
          <w:rFonts w:ascii="Arial" w:hAnsi="Arial" w:cs="Arial"/>
          <w:sz w:val="22"/>
          <w:szCs w:val="22"/>
        </w:rPr>
        <w:t>Robin Shaw</w:t>
      </w:r>
    </w:p>
    <w:p w:rsidR="00A31B9D" w:rsidRPr="000D4EA1" w:rsidRDefault="00A31B9D" w:rsidP="00E62BC4">
      <w:pPr>
        <w:rPr>
          <w:rFonts w:ascii="Arial" w:hAnsi="Arial" w:cs="Arial"/>
          <w:sz w:val="22"/>
          <w:szCs w:val="22"/>
        </w:rPr>
      </w:pPr>
      <w:r>
        <w:rPr>
          <w:rFonts w:ascii="Arial" w:hAnsi="Arial" w:cs="Arial"/>
          <w:sz w:val="22"/>
          <w:szCs w:val="22"/>
        </w:rPr>
        <w:t>Manager</w:t>
      </w:r>
    </w:p>
    <w:sectPr w:rsidR="00A31B9D" w:rsidRPr="000D4EA1" w:rsidSect="0028252B">
      <w:headerReference w:type="default" r:id="rId9"/>
      <w:type w:val="continuous"/>
      <w:pgSz w:w="11906" w:h="16838" w:code="9"/>
      <w:pgMar w:top="1440"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D8F" w:rsidRDefault="00241D8F" w:rsidP="00A10134">
      <w:r>
        <w:separator/>
      </w:r>
    </w:p>
  </w:endnote>
  <w:endnote w:type="continuationSeparator" w:id="0">
    <w:p w:rsidR="00241D8F" w:rsidRDefault="00241D8F" w:rsidP="00A1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D8F" w:rsidRDefault="00241D8F" w:rsidP="00A10134">
      <w:r>
        <w:separator/>
      </w:r>
    </w:p>
  </w:footnote>
  <w:footnote w:type="continuationSeparator" w:id="0">
    <w:p w:rsidR="00241D8F" w:rsidRDefault="00241D8F" w:rsidP="00A1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25" w:rsidRDefault="00B57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560BB"/>
    <w:multiLevelType w:val="hybridMultilevel"/>
    <w:tmpl w:val="6F86C9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C684014"/>
    <w:multiLevelType w:val="hybridMultilevel"/>
    <w:tmpl w:val="FF32C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5354F70"/>
    <w:multiLevelType w:val="hybridMultilevel"/>
    <w:tmpl w:val="933E1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6C65AFC"/>
    <w:multiLevelType w:val="hybridMultilevel"/>
    <w:tmpl w:val="0E147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0A80A23"/>
    <w:multiLevelType w:val="hybridMultilevel"/>
    <w:tmpl w:val="20140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0A"/>
    <w:rsid w:val="0000173C"/>
    <w:rsid w:val="000018E6"/>
    <w:rsid w:val="0007778D"/>
    <w:rsid w:val="000832B1"/>
    <w:rsid w:val="000B78A5"/>
    <w:rsid w:val="000D4EA1"/>
    <w:rsid w:val="000E56CC"/>
    <w:rsid w:val="0013054A"/>
    <w:rsid w:val="00193254"/>
    <w:rsid w:val="001A018F"/>
    <w:rsid w:val="001E6967"/>
    <w:rsid w:val="0021695B"/>
    <w:rsid w:val="00230AC2"/>
    <w:rsid w:val="00230D33"/>
    <w:rsid w:val="00241D8F"/>
    <w:rsid w:val="00242975"/>
    <w:rsid w:val="00251F03"/>
    <w:rsid w:val="0028252B"/>
    <w:rsid w:val="002861A7"/>
    <w:rsid w:val="002A5AC0"/>
    <w:rsid w:val="002B5D92"/>
    <w:rsid w:val="002D4466"/>
    <w:rsid w:val="002E178B"/>
    <w:rsid w:val="00320F3A"/>
    <w:rsid w:val="00325513"/>
    <w:rsid w:val="00354E29"/>
    <w:rsid w:val="0035672E"/>
    <w:rsid w:val="00357DB2"/>
    <w:rsid w:val="0038022C"/>
    <w:rsid w:val="003D2BD9"/>
    <w:rsid w:val="003D6142"/>
    <w:rsid w:val="004116E8"/>
    <w:rsid w:val="004201E1"/>
    <w:rsid w:val="004461BB"/>
    <w:rsid w:val="004A31DD"/>
    <w:rsid w:val="004C3736"/>
    <w:rsid w:val="004E26C7"/>
    <w:rsid w:val="00525210"/>
    <w:rsid w:val="006202C6"/>
    <w:rsid w:val="006214DB"/>
    <w:rsid w:val="00655808"/>
    <w:rsid w:val="006C02CC"/>
    <w:rsid w:val="006D167A"/>
    <w:rsid w:val="00710D02"/>
    <w:rsid w:val="007449C2"/>
    <w:rsid w:val="007500C0"/>
    <w:rsid w:val="00756102"/>
    <w:rsid w:val="0078222F"/>
    <w:rsid w:val="007833D8"/>
    <w:rsid w:val="007A1476"/>
    <w:rsid w:val="007E0EC1"/>
    <w:rsid w:val="00850137"/>
    <w:rsid w:val="00851A02"/>
    <w:rsid w:val="00877556"/>
    <w:rsid w:val="00887911"/>
    <w:rsid w:val="008E3AB3"/>
    <w:rsid w:val="00921D64"/>
    <w:rsid w:val="009612AB"/>
    <w:rsid w:val="009838A0"/>
    <w:rsid w:val="009910CC"/>
    <w:rsid w:val="009E1A17"/>
    <w:rsid w:val="009E62A0"/>
    <w:rsid w:val="00A10134"/>
    <w:rsid w:val="00A31B9D"/>
    <w:rsid w:val="00A44389"/>
    <w:rsid w:val="00A61CF4"/>
    <w:rsid w:val="00A873AC"/>
    <w:rsid w:val="00A95736"/>
    <w:rsid w:val="00AA052A"/>
    <w:rsid w:val="00AA76DF"/>
    <w:rsid w:val="00AD0C59"/>
    <w:rsid w:val="00B161FF"/>
    <w:rsid w:val="00B57225"/>
    <w:rsid w:val="00B7115C"/>
    <w:rsid w:val="00B857F6"/>
    <w:rsid w:val="00BB4F10"/>
    <w:rsid w:val="00BC1580"/>
    <w:rsid w:val="00C51A3A"/>
    <w:rsid w:val="00C846A0"/>
    <w:rsid w:val="00CB3D8A"/>
    <w:rsid w:val="00CC5D14"/>
    <w:rsid w:val="00CE226D"/>
    <w:rsid w:val="00CF6DBD"/>
    <w:rsid w:val="00D16C4A"/>
    <w:rsid w:val="00D51E4B"/>
    <w:rsid w:val="00D5724D"/>
    <w:rsid w:val="00D90959"/>
    <w:rsid w:val="00DA0126"/>
    <w:rsid w:val="00DA1435"/>
    <w:rsid w:val="00DB1944"/>
    <w:rsid w:val="00DB1D8A"/>
    <w:rsid w:val="00DB6804"/>
    <w:rsid w:val="00DD3F0A"/>
    <w:rsid w:val="00DF5B0E"/>
    <w:rsid w:val="00E2247B"/>
    <w:rsid w:val="00E46D09"/>
    <w:rsid w:val="00E6270C"/>
    <w:rsid w:val="00E62BC4"/>
    <w:rsid w:val="00E672C0"/>
    <w:rsid w:val="00EB779E"/>
    <w:rsid w:val="00EE4392"/>
    <w:rsid w:val="00EF1D27"/>
    <w:rsid w:val="00F22411"/>
    <w:rsid w:val="00F77E8B"/>
    <w:rsid w:val="00F97B23"/>
    <w:rsid w:val="00FE4806"/>
    <w:rsid w:val="00FF71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5:chartTrackingRefBased/>
  <w15:docId w15:val="{9CDE00B5-E948-4DBC-AE8C-F498DF8B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9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0134"/>
    <w:pPr>
      <w:tabs>
        <w:tab w:val="center" w:pos="4513"/>
        <w:tab w:val="right" w:pos="9026"/>
      </w:tabs>
    </w:pPr>
  </w:style>
  <w:style w:type="character" w:customStyle="1" w:styleId="HeaderChar">
    <w:name w:val="Header Char"/>
    <w:basedOn w:val="DefaultParagraphFont"/>
    <w:link w:val="Header"/>
    <w:rsid w:val="00A10134"/>
    <w:rPr>
      <w:sz w:val="24"/>
      <w:szCs w:val="24"/>
    </w:rPr>
  </w:style>
  <w:style w:type="paragraph" w:styleId="Footer">
    <w:name w:val="footer"/>
    <w:basedOn w:val="Normal"/>
    <w:link w:val="FooterChar"/>
    <w:rsid w:val="00A10134"/>
    <w:pPr>
      <w:tabs>
        <w:tab w:val="center" w:pos="4513"/>
        <w:tab w:val="right" w:pos="9026"/>
      </w:tabs>
    </w:pPr>
  </w:style>
  <w:style w:type="character" w:customStyle="1" w:styleId="FooterChar">
    <w:name w:val="Footer Char"/>
    <w:basedOn w:val="DefaultParagraphFont"/>
    <w:link w:val="Footer"/>
    <w:rsid w:val="00A10134"/>
    <w:rPr>
      <w:sz w:val="24"/>
      <w:szCs w:val="24"/>
    </w:rPr>
  </w:style>
  <w:style w:type="paragraph" w:styleId="ListParagraph">
    <w:name w:val="List Paragraph"/>
    <w:basedOn w:val="Normal"/>
    <w:uiPriority w:val="34"/>
    <w:qFormat/>
    <w:rsid w:val="00E62BC4"/>
    <w:pPr>
      <w:ind w:left="720"/>
      <w:contextualSpacing/>
    </w:pPr>
  </w:style>
  <w:style w:type="table" w:styleId="TableGrid">
    <w:name w:val="Table Grid"/>
    <w:basedOn w:val="TableNormal"/>
    <w:rsid w:val="00AA7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1493</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cp:lastModifiedBy>Robin Shaw (SISA)</cp:lastModifiedBy>
  <cp:revision>4</cp:revision>
  <dcterms:created xsi:type="dcterms:W3CDTF">2014-02-19T02:23:00Z</dcterms:created>
  <dcterms:modified xsi:type="dcterms:W3CDTF">2014-02-19T03:11:00Z</dcterms:modified>
</cp:coreProperties>
</file>